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119"/>
        <w:gridCol w:w="6237"/>
      </w:tblGrid>
      <w:tr w:rsidR="005347F1" w:rsidRPr="000F2F53" w:rsidTr="00C00010">
        <w:trPr>
          <w:trHeight w:val="709"/>
        </w:trPr>
        <w:tc>
          <w:tcPr>
            <w:tcW w:w="3119" w:type="dxa"/>
          </w:tcPr>
          <w:p w:rsidR="005347F1" w:rsidRPr="000F2F53" w:rsidRDefault="005347F1" w:rsidP="005347F1">
            <w:pPr>
              <w:pStyle w:val="BodyText2"/>
              <w:spacing w:after="0" w:line="240" w:lineRule="auto"/>
              <w:rPr>
                <w:szCs w:val="26"/>
              </w:rPr>
            </w:pPr>
            <w:r w:rsidRPr="000F2F53">
              <w:rPr>
                <w:szCs w:val="26"/>
              </w:rPr>
              <w:t>UBND TỈNH TÂY NINH</w:t>
            </w:r>
          </w:p>
          <w:p w:rsidR="005347F1" w:rsidRPr="000F2F53" w:rsidRDefault="005347F1" w:rsidP="005347F1">
            <w:pPr>
              <w:pStyle w:val="BodyText2"/>
              <w:spacing w:after="0" w:line="240" w:lineRule="auto"/>
              <w:jc w:val="center"/>
              <w:rPr>
                <w:szCs w:val="26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33C19FBE" wp14:editId="261A0202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191233</wp:posOffset>
                      </wp:positionV>
                      <wp:extent cx="455930" cy="0"/>
                      <wp:effectExtent l="0" t="0" r="2032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59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1.85pt,15.05pt" to="87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TQHAIAADU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"/>
                  </w:pict>
                </mc:Fallback>
              </mc:AlternateContent>
            </w:r>
            <w:r w:rsidRPr="000F2F53">
              <w:rPr>
                <w:b/>
                <w:bCs/>
                <w:szCs w:val="26"/>
              </w:rPr>
              <w:t>SỞ Y TẾ</w:t>
            </w:r>
          </w:p>
        </w:tc>
        <w:tc>
          <w:tcPr>
            <w:tcW w:w="6237" w:type="dxa"/>
          </w:tcPr>
          <w:p w:rsidR="005347F1" w:rsidRPr="000F2F53" w:rsidRDefault="005347F1" w:rsidP="005347F1">
            <w:pPr>
              <w:pStyle w:val="BodyText2"/>
              <w:spacing w:after="0" w:line="240" w:lineRule="auto"/>
              <w:jc w:val="center"/>
              <w:rPr>
                <w:b/>
                <w:bCs/>
                <w:szCs w:val="26"/>
              </w:rPr>
            </w:pPr>
            <w:r w:rsidRPr="000F2F53">
              <w:rPr>
                <w:b/>
                <w:bCs/>
                <w:szCs w:val="26"/>
              </w:rPr>
              <w:t>CỘNG HOÀ XÃ HỘI CHỦ NGHĨA VIỆT NAM</w:t>
            </w:r>
          </w:p>
          <w:p w:rsidR="005347F1" w:rsidRPr="000F2F53" w:rsidRDefault="005347F1" w:rsidP="005347F1">
            <w:pPr>
              <w:pStyle w:val="BodyText2"/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0F2F53">
              <w:rPr>
                <w:b/>
                <w:bCs/>
                <w:sz w:val="28"/>
                <w:szCs w:val="28"/>
              </w:rPr>
              <w:t>Độc lập - Tự do - Hạnh phúc</w:t>
            </w:r>
          </w:p>
          <w:p w:rsidR="005347F1" w:rsidRPr="000F2F53" w:rsidRDefault="005347F1" w:rsidP="005347F1">
            <w:pPr>
              <w:pStyle w:val="BodyText2"/>
              <w:spacing w:after="0" w:line="240" w:lineRule="auto"/>
              <w:jc w:val="center"/>
              <w:rPr>
                <w:szCs w:val="26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4ECBD33A" wp14:editId="7C73435D">
                      <wp:simplePos x="0" y="0"/>
                      <wp:positionH relativeFrom="column">
                        <wp:posOffset>877668</wp:posOffset>
                      </wp:positionH>
                      <wp:positionV relativeFrom="paragraph">
                        <wp:posOffset>23495</wp:posOffset>
                      </wp:positionV>
                      <wp:extent cx="2009775" cy="0"/>
                      <wp:effectExtent l="0" t="0" r="952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9.1pt,1.85pt" to="227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cl6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IRmL56ephjR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"/>
                  </w:pict>
                </mc:Fallback>
              </mc:AlternateContent>
            </w:r>
          </w:p>
        </w:tc>
      </w:tr>
    </w:tbl>
    <w:p w:rsidR="003E5AE7" w:rsidRDefault="003E5AE7" w:rsidP="005347F1">
      <w:pPr>
        <w:ind w:firstLine="567"/>
        <w:jc w:val="center"/>
        <w:rPr>
          <w:b/>
          <w:sz w:val="30"/>
          <w:szCs w:val="28"/>
        </w:rPr>
      </w:pPr>
    </w:p>
    <w:p w:rsidR="005347F1" w:rsidRPr="00ED5089" w:rsidRDefault="005347F1" w:rsidP="005347F1">
      <w:pPr>
        <w:ind w:firstLine="567"/>
        <w:jc w:val="center"/>
        <w:rPr>
          <w:b/>
          <w:sz w:val="27"/>
          <w:szCs w:val="27"/>
        </w:rPr>
      </w:pPr>
      <w:r w:rsidRPr="00ED5089">
        <w:rPr>
          <w:b/>
          <w:sz w:val="27"/>
          <w:szCs w:val="27"/>
        </w:rPr>
        <w:t>ĐỀ CƯƠNG HƯỚNG DẪN ÔN TẬP</w:t>
      </w:r>
    </w:p>
    <w:p w:rsidR="005347F1" w:rsidRPr="005347F1" w:rsidRDefault="005347F1" w:rsidP="005347F1">
      <w:pPr>
        <w:ind w:firstLine="567"/>
        <w:jc w:val="center"/>
        <w:rPr>
          <w:b/>
          <w:sz w:val="27"/>
          <w:szCs w:val="27"/>
        </w:rPr>
      </w:pPr>
      <w:r w:rsidRPr="005347F1">
        <w:rPr>
          <w:b/>
          <w:sz w:val="27"/>
          <w:szCs w:val="27"/>
        </w:rPr>
        <w:t>(</w:t>
      </w:r>
      <w:r w:rsidR="005C36C4">
        <w:rPr>
          <w:b/>
          <w:i/>
          <w:color w:val="000000"/>
          <w:sz w:val="27"/>
          <w:szCs w:val="27"/>
          <w:shd w:val="clear" w:color="auto" w:fill="FFFFFF"/>
        </w:rPr>
        <w:t>Kiểm tra</w:t>
      </w:r>
      <w:r w:rsidRPr="005347F1">
        <w:rPr>
          <w:b/>
          <w:i/>
          <w:color w:val="000000"/>
          <w:sz w:val="27"/>
          <w:szCs w:val="27"/>
          <w:shd w:val="clear" w:color="auto" w:fill="FFFFFF"/>
        </w:rPr>
        <w:t xml:space="preserve"> sát hạch đối với đối tượng Bác sĩ</w:t>
      </w:r>
      <w:r w:rsidRPr="005347F1">
        <w:rPr>
          <w:b/>
          <w:color w:val="000000"/>
          <w:sz w:val="27"/>
          <w:szCs w:val="27"/>
          <w:shd w:val="clear" w:color="auto" w:fill="FFFFFF"/>
        </w:rPr>
        <w:t>-</w:t>
      </w:r>
      <w:r w:rsidRPr="005347F1">
        <w:rPr>
          <w:b/>
          <w:sz w:val="27"/>
          <w:szCs w:val="27"/>
        </w:rPr>
        <w:t xml:space="preserve"> Năm 2018</w:t>
      </w:r>
      <w:r w:rsidRPr="005347F1">
        <w:rPr>
          <w:b/>
          <w:sz w:val="27"/>
          <w:szCs w:val="27"/>
        </w:rPr>
        <w:t>)</w:t>
      </w:r>
    </w:p>
    <w:p w:rsidR="005C36C4" w:rsidRPr="00214D82" w:rsidRDefault="005C36C4" w:rsidP="005347F1">
      <w:pPr>
        <w:pStyle w:val="Heading2"/>
        <w:shd w:val="clear" w:color="auto" w:fill="FFFFFF"/>
        <w:spacing w:before="120" w:beforeAutospacing="0" w:after="0" w:afterAutospacing="0"/>
        <w:jc w:val="both"/>
        <w:rPr>
          <w:i/>
          <w:color w:val="444444"/>
          <w:spacing w:val="-12"/>
          <w:sz w:val="7"/>
          <w:szCs w:val="27"/>
          <w:u w:val="single"/>
        </w:rPr>
      </w:pPr>
    </w:p>
    <w:p w:rsidR="005347F1" w:rsidRPr="001E6447" w:rsidRDefault="005347F1" w:rsidP="005347F1">
      <w:pPr>
        <w:pStyle w:val="Heading2"/>
        <w:shd w:val="clear" w:color="auto" w:fill="FFFFFF"/>
        <w:spacing w:before="120" w:beforeAutospacing="0" w:after="0" w:afterAutospacing="0"/>
        <w:jc w:val="both"/>
        <w:rPr>
          <w:color w:val="444444"/>
          <w:spacing w:val="-12"/>
          <w:sz w:val="27"/>
          <w:szCs w:val="27"/>
        </w:rPr>
      </w:pPr>
      <w:r w:rsidRPr="001E6447">
        <w:rPr>
          <w:i/>
          <w:color w:val="444444"/>
          <w:spacing w:val="-12"/>
          <w:sz w:val="27"/>
          <w:szCs w:val="27"/>
          <w:u w:val="single"/>
        </w:rPr>
        <w:t>Phần I:</w:t>
      </w:r>
      <w:r w:rsidRPr="001E6447">
        <w:rPr>
          <w:color w:val="444444"/>
          <w:spacing w:val="-12"/>
          <w:sz w:val="27"/>
          <w:szCs w:val="27"/>
        </w:rPr>
        <w:t xml:space="preserve"> </w:t>
      </w:r>
      <w:r>
        <w:rPr>
          <w:color w:val="444444"/>
          <w:spacing w:val="-12"/>
          <w:sz w:val="27"/>
          <w:szCs w:val="27"/>
        </w:rPr>
        <w:tab/>
      </w:r>
      <w:r w:rsidRPr="001E6447">
        <w:rPr>
          <w:color w:val="444444"/>
          <w:spacing w:val="-12"/>
          <w:sz w:val="27"/>
          <w:szCs w:val="27"/>
        </w:rPr>
        <w:t>Kiến thức chung</w:t>
      </w:r>
      <w:bookmarkStart w:id="0" w:name="_GoBack"/>
      <w:bookmarkEnd w:id="0"/>
    </w:p>
    <w:p w:rsidR="005347F1" w:rsidRPr="007F0755" w:rsidRDefault="005347F1" w:rsidP="005347F1">
      <w:pPr>
        <w:pStyle w:val="Heading2"/>
        <w:shd w:val="clear" w:color="auto" w:fill="FFFFFF"/>
        <w:spacing w:before="120" w:beforeAutospacing="0" w:after="0" w:afterAutospacing="0"/>
        <w:jc w:val="both"/>
        <w:rPr>
          <w:color w:val="444444"/>
          <w:spacing w:val="-12"/>
          <w:sz w:val="27"/>
          <w:szCs w:val="27"/>
        </w:rPr>
      </w:pPr>
      <w:r w:rsidRPr="007F0755">
        <w:rPr>
          <w:color w:val="444444"/>
          <w:spacing w:val="-12"/>
          <w:sz w:val="27"/>
          <w:szCs w:val="27"/>
        </w:rPr>
        <w:t xml:space="preserve">1. </w:t>
      </w:r>
      <w:r w:rsidRPr="007F0755">
        <w:rPr>
          <w:i/>
          <w:color w:val="444444"/>
          <w:spacing w:val="-12"/>
          <w:sz w:val="27"/>
          <w:szCs w:val="27"/>
        </w:rPr>
        <w:t xml:space="preserve">Luật Viên chức </w:t>
      </w:r>
      <w:r w:rsidRPr="00C66D92">
        <w:rPr>
          <w:b w:val="0"/>
          <w:i/>
          <w:color w:val="444444"/>
          <w:spacing w:val="-12"/>
          <w:sz w:val="27"/>
          <w:szCs w:val="27"/>
        </w:rPr>
        <w:t>(Luật viên chức số 58/2010/QH12 ngày 15 tháng 11 năm 2010)</w:t>
      </w:r>
      <w:r w:rsidRPr="007F0755">
        <w:rPr>
          <w:i/>
          <w:color w:val="444444"/>
          <w:spacing w:val="-12"/>
          <w:sz w:val="27"/>
          <w:szCs w:val="27"/>
        </w:rPr>
        <w:t>.</w:t>
      </w:r>
    </w:p>
    <w:p w:rsidR="005347F1" w:rsidRPr="007F0755" w:rsidRDefault="005347F1" w:rsidP="005347F1">
      <w:pPr>
        <w:pStyle w:val="BodyText"/>
        <w:widowControl w:val="0"/>
        <w:spacing w:before="120"/>
        <w:ind w:firstLine="720"/>
        <w:rPr>
          <w:bCs/>
          <w:sz w:val="27"/>
          <w:szCs w:val="27"/>
        </w:rPr>
      </w:pPr>
      <w:r w:rsidRPr="007F0755">
        <w:rPr>
          <w:bCs/>
          <w:sz w:val="27"/>
          <w:szCs w:val="27"/>
        </w:rPr>
        <w:t>- Điều 2. Viên chức</w:t>
      </w:r>
    </w:p>
    <w:p w:rsidR="005347F1" w:rsidRPr="007F0755" w:rsidRDefault="005347F1" w:rsidP="005347F1">
      <w:pPr>
        <w:pStyle w:val="BodyText"/>
        <w:widowControl w:val="0"/>
        <w:spacing w:before="120"/>
        <w:ind w:firstLine="720"/>
        <w:rPr>
          <w:sz w:val="27"/>
          <w:szCs w:val="27"/>
        </w:rPr>
      </w:pPr>
      <w:r w:rsidRPr="007F0755">
        <w:rPr>
          <w:bCs/>
          <w:sz w:val="27"/>
          <w:szCs w:val="27"/>
        </w:rPr>
        <w:t xml:space="preserve">- Điều 4. </w:t>
      </w:r>
      <w:r w:rsidRPr="007F0755">
        <w:rPr>
          <w:sz w:val="27"/>
          <w:szCs w:val="27"/>
        </w:rPr>
        <w:t xml:space="preserve">Hoạt động nghề nghiệp của viên chức </w:t>
      </w:r>
    </w:p>
    <w:p w:rsidR="005347F1" w:rsidRPr="007F0755" w:rsidRDefault="005347F1" w:rsidP="005347F1">
      <w:pPr>
        <w:pStyle w:val="BodyText"/>
        <w:widowControl w:val="0"/>
        <w:spacing w:before="120"/>
        <w:ind w:firstLine="720"/>
        <w:outlineLvl w:val="0"/>
        <w:rPr>
          <w:bCs/>
          <w:sz w:val="27"/>
          <w:szCs w:val="27"/>
        </w:rPr>
      </w:pPr>
      <w:bookmarkStart w:id="1" w:name="_Toc258154654"/>
      <w:r w:rsidRPr="007F0755">
        <w:rPr>
          <w:bCs/>
          <w:sz w:val="27"/>
          <w:szCs w:val="27"/>
        </w:rPr>
        <w:t>- Điều 5</w:t>
      </w:r>
      <w:r w:rsidRPr="007F0755">
        <w:rPr>
          <w:sz w:val="27"/>
          <w:szCs w:val="27"/>
        </w:rPr>
        <w:t xml:space="preserve">. </w:t>
      </w:r>
      <w:r w:rsidRPr="007F0755">
        <w:rPr>
          <w:bCs/>
          <w:sz w:val="27"/>
          <w:szCs w:val="27"/>
        </w:rPr>
        <w:t>Các nguyên tắc trong hoạt động nghề nghiệp của viên chức</w:t>
      </w:r>
      <w:bookmarkEnd w:id="1"/>
    </w:p>
    <w:p w:rsidR="005347F1" w:rsidRPr="007F0755" w:rsidRDefault="005347F1" w:rsidP="005347F1">
      <w:pPr>
        <w:pStyle w:val="BodyText"/>
        <w:widowControl w:val="0"/>
        <w:spacing w:before="120"/>
        <w:ind w:firstLine="720"/>
        <w:outlineLvl w:val="0"/>
        <w:rPr>
          <w:sz w:val="27"/>
          <w:szCs w:val="27"/>
        </w:rPr>
      </w:pPr>
      <w:bookmarkStart w:id="2" w:name="_Toc258154662"/>
      <w:r w:rsidRPr="007F0755">
        <w:rPr>
          <w:sz w:val="27"/>
          <w:szCs w:val="27"/>
        </w:rPr>
        <w:t>- Điều 11. Quyền của viên chức về hoạt động nghề nghiệp</w:t>
      </w:r>
      <w:bookmarkEnd w:id="2"/>
    </w:p>
    <w:p w:rsidR="005347F1" w:rsidRPr="007F0755" w:rsidRDefault="005347F1" w:rsidP="005347F1">
      <w:pPr>
        <w:shd w:val="solid" w:color="FFFFFF" w:fill="auto"/>
        <w:autoSpaceDN w:val="0"/>
        <w:spacing w:before="120"/>
        <w:ind w:firstLine="720"/>
        <w:jc w:val="both"/>
        <w:rPr>
          <w:color w:val="000000"/>
          <w:sz w:val="27"/>
          <w:szCs w:val="27"/>
          <w:shd w:val="clear" w:color="auto" w:fill="FFFFFF"/>
        </w:rPr>
      </w:pPr>
      <w:r w:rsidRPr="007F0755">
        <w:rPr>
          <w:sz w:val="27"/>
          <w:szCs w:val="27"/>
        </w:rPr>
        <w:t xml:space="preserve">- </w:t>
      </w:r>
      <w:r w:rsidRPr="007F0755">
        <w:rPr>
          <w:color w:val="000000"/>
          <w:sz w:val="27"/>
          <w:szCs w:val="27"/>
          <w:shd w:val="clear" w:color="auto" w:fill="FFFFFF"/>
        </w:rPr>
        <w:t>Điều 12. Quyền của viên chức về tiền lương và các chế độ liên quan đến tiền lương.</w:t>
      </w:r>
    </w:p>
    <w:p w:rsidR="005347F1" w:rsidRPr="007F0755" w:rsidRDefault="005347F1" w:rsidP="005347F1">
      <w:pPr>
        <w:shd w:val="solid" w:color="FFFFFF" w:fill="auto"/>
        <w:autoSpaceDN w:val="0"/>
        <w:spacing w:before="120"/>
        <w:ind w:firstLine="720"/>
        <w:jc w:val="both"/>
        <w:rPr>
          <w:color w:val="000000"/>
          <w:sz w:val="27"/>
          <w:szCs w:val="27"/>
          <w:shd w:val="clear" w:color="auto" w:fill="FFFFFF"/>
        </w:rPr>
      </w:pPr>
      <w:r w:rsidRPr="007F0755">
        <w:rPr>
          <w:color w:val="000000"/>
          <w:sz w:val="27"/>
          <w:szCs w:val="27"/>
          <w:shd w:val="clear" w:color="auto" w:fill="FFFFFF"/>
        </w:rPr>
        <w:t>- Điều 14. Quyền của viên chức về hoạt động kinh doanh và làm việc ngoài thời gian quy định.</w:t>
      </w:r>
      <w:bookmarkStart w:id="3" w:name="dieu_16"/>
    </w:p>
    <w:p w:rsidR="005347F1" w:rsidRPr="007F0755" w:rsidRDefault="005347F1" w:rsidP="005347F1">
      <w:pPr>
        <w:shd w:val="solid" w:color="FFFFFF" w:fill="auto"/>
        <w:autoSpaceDN w:val="0"/>
        <w:spacing w:before="120"/>
        <w:ind w:firstLine="720"/>
        <w:jc w:val="both"/>
        <w:rPr>
          <w:color w:val="000000"/>
          <w:sz w:val="27"/>
          <w:szCs w:val="27"/>
          <w:shd w:val="clear" w:color="auto" w:fill="FFFFFF"/>
        </w:rPr>
      </w:pPr>
      <w:r w:rsidRPr="007F0755">
        <w:rPr>
          <w:color w:val="000000"/>
          <w:sz w:val="27"/>
          <w:szCs w:val="27"/>
          <w:shd w:val="clear" w:color="auto" w:fill="FFFFFF"/>
        </w:rPr>
        <w:t xml:space="preserve"> -Điều 16. Nghĩa vụ chung của viên chức</w:t>
      </w:r>
      <w:bookmarkEnd w:id="3"/>
    </w:p>
    <w:p w:rsidR="005347F1" w:rsidRPr="007F0755" w:rsidRDefault="005347F1" w:rsidP="005347F1">
      <w:pPr>
        <w:pStyle w:val="BodyText"/>
        <w:widowControl w:val="0"/>
        <w:spacing w:before="120"/>
        <w:ind w:firstLine="720"/>
        <w:outlineLvl w:val="0"/>
        <w:rPr>
          <w:sz w:val="27"/>
          <w:szCs w:val="27"/>
        </w:rPr>
      </w:pPr>
      <w:r w:rsidRPr="007F0755">
        <w:rPr>
          <w:sz w:val="27"/>
          <w:szCs w:val="27"/>
        </w:rPr>
        <w:t>- Điều 17. Nghĩa vụ của viên chức về hoạt động nghề nghiệp</w:t>
      </w:r>
    </w:p>
    <w:p w:rsidR="005347F1" w:rsidRPr="007F0755" w:rsidRDefault="005347F1" w:rsidP="005347F1">
      <w:pPr>
        <w:pStyle w:val="BodyText"/>
        <w:widowControl w:val="0"/>
        <w:spacing w:before="120"/>
        <w:ind w:firstLine="720"/>
        <w:outlineLvl w:val="0"/>
        <w:rPr>
          <w:sz w:val="27"/>
          <w:szCs w:val="27"/>
        </w:rPr>
      </w:pPr>
      <w:r w:rsidRPr="007F0755">
        <w:rPr>
          <w:sz w:val="27"/>
          <w:szCs w:val="27"/>
        </w:rPr>
        <w:t>- Điều 19.</w:t>
      </w:r>
      <w:r>
        <w:rPr>
          <w:sz w:val="27"/>
          <w:szCs w:val="27"/>
        </w:rPr>
        <w:t xml:space="preserve"> </w:t>
      </w:r>
      <w:r w:rsidRPr="007F0755">
        <w:rPr>
          <w:sz w:val="27"/>
          <w:szCs w:val="27"/>
        </w:rPr>
        <w:t>Những việc viên chức không được làm</w:t>
      </w:r>
    </w:p>
    <w:p w:rsidR="005347F1" w:rsidRPr="007F0755" w:rsidRDefault="005347F1" w:rsidP="005347F1">
      <w:pPr>
        <w:shd w:val="solid" w:color="FFFFFF" w:fill="auto"/>
        <w:autoSpaceDN w:val="0"/>
        <w:spacing w:before="120"/>
        <w:ind w:firstLine="720"/>
        <w:jc w:val="both"/>
        <w:rPr>
          <w:color w:val="000000"/>
          <w:sz w:val="27"/>
          <w:szCs w:val="27"/>
          <w:shd w:val="clear" w:color="auto" w:fill="FFFFFF"/>
        </w:rPr>
      </w:pPr>
      <w:r w:rsidRPr="007F0755">
        <w:rPr>
          <w:sz w:val="27"/>
          <w:szCs w:val="27"/>
        </w:rPr>
        <w:t>-</w:t>
      </w:r>
      <w:bookmarkStart w:id="4" w:name="dieu_35"/>
      <w:r w:rsidRPr="007F0755">
        <w:rPr>
          <w:color w:val="000000"/>
          <w:sz w:val="27"/>
          <w:szCs w:val="27"/>
          <w:shd w:val="clear" w:color="auto" w:fill="FFFFFF"/>
        </w:rPr>
        <w:t xml:space="preserve"> Điều 35. Trách nhiệm và quyền lợi của viên chức trong đào tạo, bồi dưỡng</w:t>
      </w:r>
      <w:bookmarkEnd w:id="4"/>
      <w:r w:rsidRPr="007F0755">
        <w:rPr>
          <w:color w:val="000000"/>
          <w:sz w:val="27"/>
          <w:szCs w:val="27"/>
          <w:shd w:val="clear" w:color="auto" w:fill="FFFFFF"/>
        </w:rPr>
        <w:t>.</w:t>
      </w:r>
    </w:p>
    <w:p w:rsidR="005347F1" w:rsidRPr="007F0755" w:rsidRDefault="005347F1" w:rsidP="005347F1">
      <w:pPr>
        <w:shd w:val="solid" w:color="FFFFFF" w:fill="auto"/>
        <w:autoSpaceDN w:val="0"/>
        <w:spacing w:before="120"/>
        <w:jc w:val="both"/>
        <w:rPr>
          <w:b/>
          <w:i/>
          <w:color w:val="000000"/>
          <w:sz w:val="27"/>
          <w:szCs w:val="27"/>
          <w:shd w:val="clear" w:color="auto" w:fill="FFFFFF"/>
        </w:rPr>
      </w:pPr>
      <w:r w:rsidRPr="007F0755">
        <w:rPr>
          <w:b/>
          <w:color w:val="000000"/>
          <w:sz w:val="27"/>
          <w:szCs w:val="27"/>
          <w:shd w:val="clear" w:color="auto" w:fill="FFFFFF"/>
        </w:rPr>
        <w:t xml:space="preserve">2. </w:t>
      </w:r>
      <w:r w:rsidRPr="007F0755">
        <w:rPr>
          <w:b/>
          <w:i/>
          <w:color w:val="000000"/>
          <w:sz w:val="27"/>
          <w:szCs w:val="27"/>
          <w:shd w:val="clear" w:color="auto" w:fill="FFFFFF"/>
        </w:rPr>
        <w:t xml:space="preserve">Luật Khám bệnh, chữa bệnh </w:t>
      </w:r>
      <w:r w:rsidRPr="00C66D92">
        <w:rPr>
          <w:i/>
          <w:color w:val="000000"/>
          <w:sz w:val="27"/>
          <w:szCs w:val="27"/>
          <w:shd w:val="clear" w:color="auto" w:fill="FFFFFF"/>
        </w:rPr>
        <w:t>(Luật ban hành năm 2009)</w:t>
      </w:r>
    </w:p>
    <w:p w:rsidR="005347F1" w:rsidRPr="007F0755" w:rsidRDefault="005347F1" w:rsidP="005347F1">
      <w:pPr>
        <w:shd w:val="solid" w:color="FFFFFF" w:fill="auto"/>
        <w:autoSpaceDN w:val="0"/>
        <w:spacing w:before="120"/>
        <w:ind w:firstLine="720"/>
        <w:jc w:val="both"/>
        <w:rPr>
          <w:color w:val="000000"/>
          <w:sz w:val="27"/>
          <w:szCs w:val="27"/>
          <w:shd w:val="clear" w:color="auto" w:fill="FFFFFF"/>
        </w:rPr>
      </w:pPr>
      <w:r w:rsidRPr="007F0755">
        <w:rPr>
          <w:color w:val="000000"/>
          <w:sz w:val="27"/>
          <w:szCs w:val="27"/>
          <w:shd w:val="clear" w:color="auto" w:fill="FFFFFF"/>
        </w:rPr>
        <w:t>- Điều 3. Nguyên tắc trong hành nghề khám bệnh, chữa bệnh</w:t>
      </w:r>
    </w:p>
    <w:p w:rsidR="005347F1" w:rsidRPr="007F0755" w:rsidRDefault="005347F1" w:rsidP="005347F1">
      <w:pPr>
        <w:shd w:val="solid" w:color="FFFFFF" w:fill="auto"/>
        <w:autoSpaceDN w:val="0"/>
        <w:spacing w:before="120"/>
        <w:ind w:firstLine="720"/>
        <w:jc w:val="both"/>
        <w:rPr>
          <w:color w:val="000000"/>
          <w:sz w:val="27"/>
          <w:szCs w:val="27"/>
          <w:shd w:val="clear" w:color="auto" w:fill="FFFFFF"/>
        </w:rPr>
      </w:pPr>
      <w:r w:rsidRPr="007F0755">
        <w:rPr>
          <w:color w:val="000000"/>
          <w:sz w:val="27"/>
          <w:szCs w:val="27"/>
          <w:shd w:val="clear" w:color="auto" w:fill="FFFFFF"/>
        </w:rPr>
        <w:t>- Điều 6. Các hành vi bị cấm</w:t>
      </w:r>
    </w:p>
    <w:p w:rsidR="005347F1" w:rsidRPr="007F0755" w:rsidRDefault="005347F1" w:rsidP="005347F1">
      <w:pPr>
        <w:shd w:val="solid" w:color="FFFFFF" w:fill="auto"/>
        <w:autoSpaceDN w:val="0"/>
        <w:spacing w:before="120"/>
        <w:ind w:firstLine="720"/>
        <w:jc w:val="both"/>
        <w:rPr>
          <w:color w:val="000000"/>
          <w:sz w:val="27"/>
          <w:szCs w:val="27"/>
          <w:shd w:val="clear" w:color="auto" w:fill="FFFFFF"/>
        </w:rPr>
      </w:pPr>
      <w:r w:rsidRPr="007F0755">
        <w:rPr>
          <w:b/>
          <w:color w:val="000000"/>
          <w:sz w:val="27"/>
          <w:szCs w:val="27"/>
          <w:shd w:val="clear" w:color="auto" w:fill="FFFFFF"/>
        </w:rPr>
        <w:t xml:space="preserve">- </w:t>
      </w:r>
      <w:r w:rsidRPr="007F0755">
        <w:rPr>
          <w:color w:val="000000"/>
          <w:sz w:val="27"/>
          <w:szCs w:val="27"/>
          <w:shd w:val="clear" w:color="auto" w:fill="FFFFFF"/>
        </w:rPr>
        <w:t xml:space="preserve">Mục 3. </w:t>
      </w:r>
      <w:bookmarkStart w:id="5" w:name="dieu_8"/>
      <w:r w:rsidRPr="007F0755">
        <w:rPr>
          <w:color w:val="000000"/>
          <w:sz w:val="27"/>
          <w:szCs w:val="27"/>
          <w:shd w:val="clear" w:color="auto" w:fill="FFFFFF"/>
        </w:rPr>
        <w:t>Quyền của người hành nghề (</w:t>
      </w:r>
      <w:r w:rsidRPr="007F0755">
        <w:rPr>
          <w:i/>
          <w:color w:val="000000"/>
          <w:sz w:val="27"/>
          <w:szCs w:val="27"/>
          <w:shd w:val="clear" w:color="auto" w:fill="FFFFFF"/>
        </w:rPr>
        <w:t>Điều 31, 32, 33, 34, 35</w:t>
      </w:r>
      <w:r w:rsidRPr="007F0755">
        <w:rPr>
          <w:color w:val="000000"/>
          <w:sz w:val="27"/>
          <w:szCs w:val="27"/>
          <w:shd w:val="clear" w:color="auto" w:fill="FFFFFF"/>
        </w:rPr>
        <w:t>)</w:t>
      </w:r>
    </w:p>
    <w:p w:rsidR="005347F1" w:rsidRPr="007F0755" w:rsidRDefault="005347F1" w:rsidP="005347F1">
      <w:pPr>
        <w:shd w:val="solid" w:color="FFFFFF" w:fill="auto"/>
        <w:autoSpaceDN w:val="0"/>
        <w:spacing w:before="120"/>
        <w:ind w:firstLine="720"/>
        <w:jc w:val="both"/>
        <w:rPr>
          <w:color w:val="000000"/>
          <w:sz w:val="27"/>
          <w:szCs w:val="27"/>
          <w:shd w:val="clear" w:color="auto" w:fill="FFFFFF"/>
        </w:rPr>
      </w:pPr>
      <w:r w:rsidRPr="007F0755">
        <w:rPr>
          <w:color w:val="000000"/>
          <w:sz w:val="27"/>
          <w:szCs w:val="27"/>
          <w:shd w:val="clear" w:color="auto" w:fill="FFFFFF"/>
        </w:rPr>
        <w:t>-</w:t>
      </w:r>
      <w:bookmarkEnd w:id="5"/>
      <w:r w:rsidRPr="007F0755">
        <w:rPr>
          <w:color w:val="000000"/>
          <w:sz w:val="27"/>
          <w:szCs w:val="27"/>
          <w:shd w:val="clear" w:color="auto" w:fill="FFFFFF"/>
        </w:rPr>
        <w:t xml:space="preserve"> Mục 4.Nghĩa vụ của người hành nghề (</w:t>
      </w:r>
      <w:r w:rsidRPr="007F0755">
        <w:rPr>
          <w:i/>
          <w:color w:val="000000"/>
          <w:sz w:val="27"/>
          <w:szCs w:val="27"/>
          <w:shd w:val="clear" w:color="auto" w:fill="FFFFFF"/>
        </w:rPr>
        <w:t>Điều 36, 37, 38, 39, 40</w:t>
      </w:r>
      <w:r w:rsidRPr="007F0755">
        <w:rPr>
          <w:color w:val="000000"/>
          <w:sz w:val="27"/>
          <w:szCs w:val="27"/>
          <w:shd w:val="clear" w:color="auto" w:fill="FFFFFF"/>
        </w:rPr>
        <w:t>)</w:t>
      </w:r>
    </w:p>
    <w:p w:rsidR="005347F1" w:rsidRPr="00C66D92" w:rsidRDefault="005347F1" w:rsidP="005347F1">
      <w:pPr>
        <w:shd w:val="solid" w:color="FFFFFF" w:fill="auto"/>
        <w:autoSpaceDN w:val="0"/>
        <w:spacing w:before="120"/>
        <w:jc w:val="both"/>
        <w:rPr>
          <w:bCs/>
          <w:sz w:val="27"/>
          <w:szCs w:val="27"/>
        </w:rPr>
      </w:pPr>
      <w:r>
        <w:rPr>
          <w:b/>
          <w:sz w:val="27"/>
          <w:szCs w:val="27"/>
        </w:rPr>
        <w:t>3</w:t>
      </w:r>
      <w:r w:rsidRPr="004E1587">
        <w:rPr>
          <w:b/>
          <w:i/>
          <w:sz w:val="27"/>
          <w:szCs w:val="27"/>
        </w:rPr>
        <w:t xml:space="preserve">. </w:t>
      </w:r>
      <w:r w:rsidRPr="004E1587">
        <w:rPr>
          <w:b/>
          <w:bCs/>
          <w:i/>
          <w:iCs/>
          <w:sz w:val="27"/>
          <w:szCs w:val="27"/>
        </w:rPr>
        <w:t>Nội dung quy tắc ứng xử</w:t>
      </w:r>
      <w:r w:rsidRPr="007F0755">
        <w:rPr>
          <w:b/>
          <w:bCs/>
          <w:iCs/>
          <w:sz w:val="27"/>
          <w:szCs w:val="27"/>
        </w:rPr>
        <w:t>:</w:t>
      </w:r>
      <w:r w:rsidRPr="00C66D92">
        <w:rPr>
          <w:i/>
          <w:sz w:val="27"/>
          <w:szCs w:val="27"/>
        </w:rPr>
        <w:t xml:space="preserve"> (ban hành theo Thông tư số 07/2014/TT-BYT ngày Quy định về Quy tắc ứng xử của công chức, viên chức, người lao động làm việc tại các cơ sở y tế.</w:t>
      </w:r>
      <w:r>
        <w:rPr>
          <w:i/>
          <w:sz w:val="27"/>
          <w:szCs w:val="27"/>
        </w:rPr>
        <w:t>)</w:t>
      </w:r>
    </w:p>
    <w:p w:rsidR="005347F1" w:rsidRPr="007F0755" w:rsidRDefault="005347F1" w:rsidP="005347F1">
      <w:pPr>
        <w:spacing w:before="120"/>
        <w:ind w:firstLine="720"/>
        <w:jc w:val="both"/>
        <w:rPr>
          <w:i/>
          <w:sz w:val="27"/>
          <w:szCs w:val="27"/>
        </w:rPr>
      </w:pPr>
      <w:r w:rsidRPr="007F0755">
        <w:rPr>
          <w:bCs/>
          <w:iCs/>
          <w:sz w:val="27"/>
          <w:szCs w:val="27"/>
        </w:rPr>
        <w:t>-Điều 3.</w:t>
      </w:r>
      <w:r w:rsidRPr="007F0755">
        <w:rPr>
          <w:sz w:val="27"/>
          <w:szCs w:val="27"/>
        </w:rPr>
        <w:t xml:space="preserve"> Ứng xử của công chức, viên chức y tế khi thi hành công vụ, nhiệm vụ được giao</w:t>
      </w:r>
    </w:p>
    <w:p w:rsidR="005347F1" w:rsidRPr="007F0755" w:rsidRDefault="005347F1" w:rsidP="005347F1">
      <w:pPr>
        <w:spacing w:before="120"/>
        <w:ind w:firstLine="720"/>
        <w:jc w:val="both"/>
        <w:rPr>
          <w:bCs/>
          <w:iCs/>
          <w:sz w:val="27"/>
          <w:szCs w:val="27"/>
        </w:rPr>
      </w:pPr>
      <w:r w:rsidRPr="007F0755">
        <w:rPr>
          <w:bCs/>
          <w:iCs/>
          <w:sz w:val="27"/>
          <w:szCs w:val="27"/>
        </w:rPr>
        <w:t>-Điều 4. Ứng xử của công chức, viên chức y tế đối với đồng nghiệp</w:t>
      </w:r>
    </w:p>
    <w:p w:rsidR="005347F1" w:rsidRPr="007F0755" w:rsidRDefault="005347F1" w:rsidP="005347F1">
      <w:pPr>
        <w:spacing w:before="120"/>
        <w:ind w:firstLine="720"/>
        <w:jc w:val="both"/>
        <w:rPr>
          <w:bCs/>
          <w:iCs/>
          <w:sz w:val="27"/>
          <w:szCs w:val="27"/>
        </w:rPr>
      </w:pPr>
      <w:r w:rsidRPr="007F0755">
        <w:rPr>
          <w:bCs/>
          <w:iCs/>
          <w:sz w:val="27"/>
          <w:szCs w:val="27"/>
        </w:rPr>
        <w:t xml:space="preserve">-Điều 5. Ứng xử của công chức, viên chức y tế đối với cơ quan, tổ chức, cá nhân </w:t>
      </w:r>
    </w:p>
    <w:p w:rsidR="005347F1" w:rsidRPr="007F0755" w:rsidRDefault="005347F1" w:rsidP="005347F1">
      <w:pPr>
        <w:spacing w:before="120"/>
        <w:ind w:firstLine="720"/>
        <w:jc w:val="both"/>
        <w:rPr>
          <w:color w:val="000000"/>
          <w:sz w:val="27"/>
          <w:szCs w:val="27"/>
        </w:rPr>
      </w:pPr>
      <w:r w:rsidRPr="007F0755">
        <w:rPr>
          <w:bCs/>
          <w:iCs/>
          <w:color w:val="000000"/>
          <w:sz w:val="27"/>
          <w:szCs w:val="27"/>
        </w:rPr>
        <w:t>-Điều 6</w:t>
      </w:r>
      <w:r w:rsidRPr="007F0755">
        <w:rPr>
          <w:b/>
          <w:bCs/>
          <w:iCs/>
          <w:color w:val="000000"/>
          <w:sz w:val="27"/>
          <w:szCs w:val="27"/>
        </w:rPr>
        <w:t>.</w:t>
      </w:r>
      <w:r>
        <w:rPr>
          <w:b/>
          <w:bCs/>
          <w:iCs/>
          <w:color w:val="000000"/>
          <w:sz w:val="27"/>
          <w:szCs w:val="27"/>
        </w:rPr>
        <w:t xml:space="preserve"> </w:t>
      </w:r>
      <w:r w:rsidRPr="007F0755">
        <w:rPr>
          <w:color w:val="000000"/>
          <w:sz w:val="27"/>
          <w:szCs w:val="27"/>
        </w:rPr>
        <w:t>Ứng xử của công chức, viên chức y tế trong các cơ sở khám bệnh, chữa bệnh.</w:t>
      </w:r>
    </w:p>
    <w:p w:rsidR="005347F1" w:rsidRPr="003E5AE7" w:rsidRDefault="005347F1" w:rsidP="003E5AE7">
      <w:pPr>
        <w:pStyle w:val="NormalWeb"/>
        <w:spacing w:before="120" w:beforeAutospacing="0" w:after="0" w:afterAutospacing="0"/>
        <w:ind w:firstLine="720"/>
        <w:jc w:val="both"/>
        <w:rPr>
          <w:bCs/>
          <w:sz w:val="27"/>
          <w:szCs w:val="27"/>
        </w:rPr>
      </w:pPr>
      <w:r w:rsidRPr="007F0755">
        <w:rPr>
          <w:color w:val="000000"/>
          <w:sz w:val="27"/>
          <w:szCs w:val="27"/>
        </w:rPr>
        <w:t>-</w:t>
      </w:r>
      <w:r w:rsidRPr="007F0755">
        <w:rPr>
          <w:bCs/>
          <w:sz w:val="27"/>
          <w:szCs w:val="27"/>
        </w:rPr>
        <w:t xml:space="preserve"> Điều 14. Trách nhiệm của công chức, viên chức y tế</w:t>
      </w:r>
    </w:p>
    <w:p w:rsidR="005347F1" w:rsidRPr="005347F1" w:rsidRDefault="005347F1" w:rsidP="005347F1">
      <w:pPr>
        <w:shd w:val="solid" w:color="FFFFFF" w:fill="auto"/>
        <w:autoSpaceDN w:val="0"/>
        <w:spacing w:before="120"/>
        <w:jc w:val="both"/>
        <w:rPr>
          <w:b/>
          <w:color w:val="000000"/>
          <w:sz w:val="27"/>
          <w:szCs w:val="27"/>
          <w:u w:val="single"/>
          <w:shd w:val="clear" w:color="auto" w:fill="FFFFFF"/>
        </w:rPr>
      </w:pPr>
      <w:r w:rsidRPr="001E6447">
        <w:rPr>
          <w:b/>
          <w:i/>
          <w:color w:val="000000"/>
          <w:sz w:val="27"/>
          <w:szCs w:val="27"/>
          <w:u w:val="single"/>
          <w:shd w:val="clear" w:color="auto" w:fill="FFFFFF"/>
        </w:rPr>
        <w:t>Phần II</w:t>
      </w:r>
      <w:r w:rsidRPr="001E6447">
        <w:rPr>
          <w:b/>
          <w:color w:val="000000"/>
          <w:sz w:val="27"/>
          <w:szCs w:val="27"/>
          <w:shd w:val="clear" w:color="auto" w:fill="FFFFFF"/>
        </w:rPr>
        <w:t>:  Kiến thức chuyên ngành</w:t>
      </w:r>
      <w:r w:rsidRPr="007F0755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5347F1" w:rsidRPr="007F0755" w:rsidRDefault="005347F1" w:rsidP="005347F1">
      <w:pPr>
        <w:pStyle w:val="NormalWeb"/>
        <w:spacing w:before="120" w:beforeAutospacing="0" w:after="0" w:afterAutospacing="0"/>
        <w:jc w:val="both"/>
        <w:rPr>
          <w:bCs/>
          <w:i/>
          <w:color w:val="333333"/>
          <w:sz w:val="27"/>
          <w:szCs w:val="27"/>
          <w:shd w:val="clear" w:color="auto" w:fill="FFFFFF"/>
        </w:rPr>
      </w:pPr>
      <w:r w:rsidRPr="007F0755">
        <w:rPr>
          <w:b/>
          <w:sz w:val="27"/>
          <w:szCs w:val="27"/>
        </w:rPr>
        <w:t xml:space="preserve">1. </w:t>
      </w:r>
      <w:r w:rsidR="003E5AE7">
        <w:rPr>
          <w:b/>
          <w:sz w:val="27"/>
          <w:szCs w:val="27"/>
        </w:rPr>
        <w:t xml:space="preserve">Đối tượng </w:t>
      </w:r>
      <w:r w:rsidRPr="007F0755">
        <w:rPr>
          <w:b/>
          <w:i/>
          <w:sz w:val="27"/>
          <w:szCs w:val="27"/>
        </w:rPr>
        <w:t xml:space="preserve">Bác sĩ đa khoa  </w:t>
      </w:r>
    </w:p>
    <w:p w:rsidR="005347F1" w:rsidRPr="003E5AE7" w:rsidRDefault="005347F1" w:rsidP="005347F1">
      <w:pPr>
        <w:pStyle w:val="NormalWeb"/>
        <w:spacing w:before="120" w:beforeAutospacing="0" w:after="0" w:afterAutospacing="0"/>
        <w:ind w:firstLine="720"/>
        <w:jc w:val="both"/>
        <w:rPr>
          <w:bCs/>
          <w:i/>
          <w:color w:val="333333"/>
          <w:sz w:val="27"/>
          <w:szCs w:val="27"/>
          <w:shd w:val="clear" w:color="auto" w:fill="FFFFFF"/>
        </w:rPr>
      </w:pPr>
      <w:r w:rsidRPr="007F0755">
        <w:rPr>
          <w:bCs/>
          <w:color w:val="333333"/>
          <w:sz w:val="27"/>
          <w:szCs w:val="27"/>
          <w:shd w:val="clear" w:color="auto" w:fill="FFFFFF"/>
        </w:rPr>
        <w:lastRenderedPageBreak/>
        <w:t xml:space="preserve"> </w:t>
      </w:r>
      <w:r w:rsidRPr="003E5AE7">
        <w:rPr>
          <w:bCs/>
          <w:i/>
          <w:color w:val="333333"/>
          <w:sz w:val="27"/>
          <w:szCs w:val="27"/>
          <w:shd w:val="clear" w:color="auto" w:fill="FFFFFF"/>
        </w:rPr>
        <w:t>Quy trình chuyên môn chẩn đoán, điều trị và chăm sóc người bệnh:</w:t>
      </w:r>
    </w:p>
    <w:p w:rsidR="005347F1" w:rsidRPr="007F0755" w:rsidRDefault="005347F1" w:rsidP="005347F1">
      <w:pPr>
        <w:pStyle w:val="NormalWeb"/>
        <w:spacing w:before="120" w:beforeAutospacing="0" w:after="0" w:afterAutospacing="0"/>
        <w:ind w:firstLine="720"/>
        <w:jc w:val="both"/>
        <w:rPr>
          <w:bCs/>
          <w:color w:val="333333"/>
          <w:sz w:val="27"/>
          <w:szCs w:val="27"/>
          <w:shd w:val="clear" w:color="auto" w:fill="FFFFFF"/>
        </w:rPr>
      </w:pPr>
      <w:r>
        <w:rPr>
          <w:bCs/>
          <w:color w:val="333333"/>
          <w:sz w:val="27"/>
          <w:szCs w:val="27"/>
          <w:shd w:val="clear" w:color="auto" w:fill="FFFFFF"/>
        </w:rPr>
        <w:t>1. COPD (bệnh p</w:t>
      </w:r>
      <w:r w:rsidRPr="007F0755">
        <w:rPr>
          <w:bCs/>
          <w:color w:val="333333"/>
          <w:sz w:val="27"/>
          <w:szCs w:val="27"/>
          <w:shd w:val="clear" w:color="auto" w:fill="FFFFFF"/>
        </w:rPr>
        <w:t>hổi tắc nghẽn mạn tính)</w:t>
      </w:r>
    </w:p>
    <w:p w:rsidR="005347F1" w:rsidRPr="007F0755" w:rsidRDefault="005347F1" w:rsidP="005347F1">
      <w:pPr>
        <w:pStyle w:val="NormalWeb"/>
        <w:spacing w:before="120" w:beforeAutospacing="0" w:after="0" w:afterAutospacing="0"/>
        <w:ind w:firstLine="720"/>
        <w:jc w:val="both"/>
        <w:rPr>
          <w:bCs/>
          <w:color w:val="333333"/>
          <w:sz w:val="27"/>
          <w:szCs w:val="27"/>
          <w:shd w:val="clear" w:color="auto" w:fill="FFFFFF"/>
        </w:rPr>
      </w:pPr>
      <w:r>
        <w:rPr>
          <w:bCs/>
          <w:color w:val="333333"/>
          <w:sz w:val="27"/>
          <w:szCs w:val="27"/>
          <w:shd w:val="clear" w:color="auto" w:fill="FFFFFF"/>
        </w:rPr>
        <w:t>2. Tiêu chảy cấp ở t</w:t>
      </w:r>
      <w:r w:rsidRPr="007F0755">
        <w:rPr>
          <w:bCs/>
          <w:color w:val="333333"/>
          <w:sz w:val="27"/>
          <w:szCs w:val="27"/>
          <w:shd w:val="clear" w:color="auto" w:fill="FFFFFF"/>
        </w:rPr>
        <w:t>rẻ em</w:t>
      </w:r>
    </w:p>
    <w:p w:rsidR="005347F1" w:rsidRPr="007F0755" w:rsidRDefault="005347F1" w:rsidP="005347F1">
      <w:pPr>
        <w:pStyle w:val="NormalWeb"/>
        <w:spacing w:before="120" w:beforeAutospacing="0" w:after="0" w:afterAutospacing="0"/>
        <w:ind w:firstLine="720"/>
        <w:jc w:val="both"/>
        <w:rPr>
          <w:bCs/>
          <w:color w:val="333333"/>
          <w:sz w:val="27"/>
          <w:szCs w:val="27"/>
          <w:shd w:val="clear" w:color="auto" w:fill="FFFFFF"/>
        </w:rPr>
      </w:pPr>
      <w:r w:rsidRPr="007F0755">
        <w:rPr>
          <w:sz w:val="27"/>
          <w:szCs w:val="27"/>
        </w:rPr>
        <w:t>3.</w:t>
      </w:r>
      <w:r w:rsidRPr="007F0755">
        <w:rPr>
          <w:bCs/>
          <w:color w:val="333333"/>
          <w:sz w:val="27"/>
          <w:szCs w:val="27"/>
          <w:shd w:val="clear" w:color="auto" w:fill="FFFFFF"/>
        </w:rPr>
        <w:t xml:space="preserve"> Viêm tụy cấp</w:t>
      </w:r>
    </w:p>
    <w:p w:rsidR="005347F1" w:rsidRPr="007F0755" w:rsidRDefault="005347F1" w:rsidP="005347F1">
      <w:pPr>
        <w:pStyle w:val="NormalWeb"/>
        <w:spacing w:before="120" w:beforeAutospacing="0" w:after="0" w:afterAutospacing="0"/>
        <w:ind w:firstLine="720"/>
        <w:jc w:val="both"/>
        <w:rPr>
          <w:bCs/>
          <w:color w:val="333333"/>
          <w:sz w:val="27"/>
          <w:szCs w:val="27"/>
          <w:shd w:val="clear" w:color="auto" w:fill="FFFFFF"/>
        </w:rPr>
      </w:pPr>
      <w:r w:rsidRPr="007F0755">
        <w:rPr>
          <w:sz w:val="27"/>
          <w:szCs w:val="27"/>
        </w:rPr>
        <w:t>4.</w:t>
      </w:r>
      <w:r w:rsidRPr="007F0755">
        <w:rPr>
          <w:bCs/>
          <w:color w:val="333333"/>
          <w:sz w:val="27"/>
          <w:szCs w:val="27"/>
          <w:shd w:val="clear" w:color="auto" w:fill="FFFFFF"/>
        </w:rPr>
        <w:t xml:space="preserve"> Sốt xuất huyết</w:t>
      </w:r>
    </w:p>
    <w:p w:rsidR="005347F1" w:rsidRPr="007F0755" w:rsidRDefault="005347F1" w:rsidP="005347F1">
      <w:pPr>
        <w:pStyle w:val="NormalWeb"/>
        <w:spacing w:before="120" w:beforeAutospacing="0" w:after="0" w:afterAutospacing="0"/>
        <w:ind w:firstLine="720"/>
        <w:jc w:val="both"/>
        <w:rPr>
          <w:bCs/>
          <w:color w:val="333333"/>
          <w:sz w:val="27"/>
          <w:szCs w:val="27"/>
          <w:shd w:val="clear" w:color="auto" w:fill="FFFFFF"/>
        </w:rPr>
      </w:pPr>
      <w:r w:rsidRPr="007F0755">
        <w:rPr>
          <w:sz w:val="27"/>
          <w:szCs w:val="27"/>
        </w:rPr>
        <w:t>5.</w:t>
      </w:r>
      <w:r w:rsidRPr="007F0755">
        <w:rPr>
          <w:bCs/>
          <w:color w:val="333333"/>
          <w:sz w:val="27"/>
          <w:szCs w:val="27"/>
          <w:shd w:val="clear" w:color="auto" w:fill="FFFFFF"/>
        </w:rPr>
        <w:t xml:space="preserve"> Tăng huyết áp</w:t>
      </w:r>
    </w:p>
    <w:p w:rsidR="005347F1" w:rsidRPr="007F0755" w:rsidRDefault="005347F1" w:rsidP="005347F1">
      <w:pPr>
        <w:pStyle w:val="NormalWeb"/>
        <w:spacing w:before="120" w:beforeAutospacing="0" w:after="0" w:afterAutospacing="0"/>
        <w:ind w:firstLine="720"/>
        <w:jc w:val="both"/>
        <w:rPr>
          <w:bCs/>
          <w:color w:val="333333"/>
          <w:sz w:val="27"/>
          <w:szCs w:val="27"/>
          <w:shd w:val="clear" w:color="auto" w:fill="FFFFFF"/>
        </w:rPr>
      </w:pPr>
      <w:r w:rsidRPr="007F0755">
        <w:rPr>
          <w:bCs/>
          <w:color w:val="333333"/>
          <w:sz w:val="27"/>
          <w:szCs w:val="27"/>
          <w:shd w:val="clear" w:color="auto" w:fill="FFFFFF"/>
        </w:rPr>
        <w:t>6. U nang buồng trứng</w:t>
      </w:r>
    </w:p>
    <w:p w:rsidR="005347F1" w:rsidRPr="007F0755" w:rsidRDefault="005347F1" w:rsidP="005347F1">
      <w:pPr>
        <w:pStyle w:val="NormalWeb"/>
        <w:spacing w:before="120" w:beforeAutospacing="0" w:after="0" w:afterAutospacing="0"/>
        <w:ind w:firstLine="720"/>
        <w:jc w:val="both"/>
        <w:rPr>
          <w:bCs/>
          <w:color w:val="333333"/>
          <w:sz w:val="27"/>
          <w:szCs w:val="27"/>
          <w:shd w:val="clear" w:color="auto" w:fill="FFFFFF"/>
        </w:rPr>
      </w:pPr>
      <w:r w:rsidRPr="007F0755">
        <w:rPr>
          <w:bCs/>
          <w:color w:val="333333"/>
          <w:sz w:val="27"/>
          <w:szCs w:val="27"/>
          <w:shd w:val="clear" w:color="auto" w:fill="FFFFFF"/>
        </w:rPr>
        <w:t>7. Thai ngoài tử cung</w:t>
      </w:r>
    </w:p>
    <w:p w:rsidR="005347F1" w:rsidRPr="007F0755" w:rsidRDefault="005347F1" w:rsidP="005347F1">
      <w:pPr>
        <w:pStyle w:val="NormalWeb"/>
        <w:spacing w:before="120" w:beforeAutospacing="0" w:after="0" w:afterAutospacing="0"/>
        <w:ind w:firstLine="720"/>
        <w:jc w:val="both"/>
        <w:rPr>
          <w:bCs/>
          <w:color w:val="333333"/>
          <w:sz w:val="27"/>
          <w:szCs w:val="27"/>
          <w:shd w:val="clear" w:color="auto" w:fill="FFFFFF"/>
        </w:rPr>
      </w:pPr>
      <w:r w:rsidRPr="007F0755">
        <w:rPr>
          <w:bCs/>
          <w:color w:val="333333"/>
          <w:sz w:val="27"/>
          <w:szCs w:val="27"/>
          <w:shd w:val="clear" w:color="auto" w:fill="FFFFFF"/>
        </w:rPr>
        <w:t>8. Chấn thương sọ não</w:t>
      </w:r>
    </w:p>
    <w:p w:rsidR="005347F1" w:rsidRPr="007F0755" w:rsidRDefault="005347F1" w:rsidP="005347F1">
      <w:pPr>
        <w:pStyle w:val="NormalWeb"/>
        <w:spacing w:before="120" w:beforeAutospacing="0" w:after="0" w:afterAutospacing="0"/>
        <w:ind w:firstLine="720"/>
        <w:jc w:val="both"/>
        <w:rPr>
          <w:bCs/>
          <w:color w:val="333333"/>
          <w:sz w:val="27"/>
          <w:szCs w:val="27"/>
          <w:shd w:val="clear" w:color="auto" w:fill="FFFFFF"/>
        </w:rPr>
      </w:pPr>
      <w:r>
        <w:rPr>
          <w:bCs/>
          <w:color w:val="333333"/>
          <w:sz w:val="27"/>
          <w:szCs w:val="27"/>
          <w:shd w:val="clear" w:color="auto" w:fill="FFFFFF"/>
        </w:rPr>
        <w:t>9</w:t>
      </w:r>
      <w:r w:rsidRPr="007F0755">
        <w:rPr>
          <w:bCs/>
          <w:color w:val="333333"/>
          <w:sz w:val="27"/>
          <w:szCs w:val="27"/>
          <w:shd w:val="clear" w:color="auto" w:fill="FFFFFF"/>
        </w:rPr>
        <w:t>. Gãy kín 1/3 giữa 2 xương cẳng chân ở người lớn</w:t>
      </w:r>
    </w:p>
    <w:p w:rsidR="005347F1" w:rsidRDefault="005347F1" w:rsidP="005347F1">
      <w:pPr>
        <w:pStyle w:val="NormalWeb"/>
        <w:spacing w:before="120" w:beforeAutospacing="0" w:after="0" w:afterAutospacing="0"/>
        <w:ind w:firstLine="720"/>
        <w:jc w:val="both"/>
        <w:rPr>
          <w:bCs/>
          <w:color w:val="333333"/>
          <w:sz w:val="27"/>
          <w:szCs w:val="27"/>
          <w:shd w:val="clear" w:color="auto" w:fill="FFFFFF"/>
        </w:rPr>
      </w:pPr>
      <w:r>
        <w:rPr>
          <w:bCs/>
          <w:color w:val="333333"/>
          <w:sz w:val="27"/>
          <w:szCs w:val="27"/>
          <w:shd w:val="clear" w:color="auto" w:fill="FFFFFF"/>
        </w:rPr>
        <w:t>10</w:t>
      </w:r>
      <w:r w:rsidRPr="007F0755">
        <w:rPr>
          <w:bCs/>
          <w:color w:val="333333"/>
          <w:sz w:val="27"/>
          <w:szCs w:val="27"/>
          <w:shd w:val="clear" w:color="auto" w:fill="FFFFFF"/>
        </w:rPr>
        <w:t>. Đái tháo đường typ II (không biến chứng)</w:t>
      </w:r>
    </w:p>
    <w:p w:rsidR="003E5AE7" w:rsidRPr="00C66D92" w:rsidRDefault="003E5AE7" w:rsidP="005347F1">
      <w:pPr>
        <w:pStyle w:val="NormalWeb"/>
        <w:spacing w:before="120" w:beforeAutospacing="0" w:after="0" w:afterAutospacing="0"/>
        <w:ind w:firstLine="720"/>
        <w:jc w:val="both"/>
        <w:rPr>
          <w:bCs/>
          <w:color w:val="333333"/>
          <w:sz w:val="27"/>
          <w:szCs w:val="27"/>
          <w:shd w:val="clear" w:color="auto" w:fill="FFFFFF"/>
        </w:rPr>
      </w:pPr>
      <w:r w:rsidRPr="007F0755">
        <w:rPr>
          <w:i/>
          <w:sz w:val="27"/>
          <w:szCs w:val="27"/>
        </w:rPr>
        <w:t xml:space="preserve">(Tài liệu: Quy trình </w:t>
      </w:r>
      <w:r w:rsidR="00ED5089">
        <w:rPr>
          <w:i/>
          <w:sz w:val="27"/>
          <w:szCs w:val="27"/>
        </w:rPr>
        <w:t xml:space="preserve">chuyên môn </w:t>
      </w:r>
      <w:r w:rsidRPr="007F0755">
        <w:rPr>
          <w:i/>
          <w:sz w:val="27"/>
          <w:szCs w:val="27"/>
        </w:rPr>
        <w:t>kỹ thuật</w:t>
      </w:r>
      <w:r w:rsidR="00ED5089">
        <w:rPr>
          <w:i/>
          <w:sz w:val="27"/>
          <w:szCs w:val="27"/>
        </w:rPr>
        <w:t xml:space="preserve"> 26 bệnh thường gặp</w:t>
      </w:r>
      <w:r w:rsidRPr="007F0755">
        <w:rPr>
          <w:i/>
          <w:sz w:val="27"/>
          <w:szCs w:val="27"/>
        </w:rPr>
        <w:t xml:space="preserve"> </w:t>
      </w:r>
      <w:r w:rsidRPr="007F0755">
        <w:rPr>
          <w:bCs/>
          <w:i/>
          <w:color w:val="333333"/>
          <w:sz w:val="27"/>
          <w:szCs w:val="27"/>
          <w:shd w:val="clear" w:color="auto" w:fill="FFFFFF"/>
        </w:rPr>
        <w:t>Ban hành kèm theo Quyết định số 4068/QĐ-B</w:t>
      </w:r>
      <w:r w:rsidR="00214D82">
        <w:rPr>
          <w:bCs/>
          <w:i/>
          <w:color w:val="333333"/>
          <w:sz w:val="27"/>
          <w:szCs w:val="27"/>
          <w:shd w:val="clear" w:color="auto" w:fill="FFFFFF"/>
        </w:rPr>
        <w:t xml:space="preserve">YT ngày 29/7/2016 của </w:t>
      </w:r>
      <w:r w:rsidRPr="007F0755">
        <w:rPr>
          <w:bCs/>
          <w:i/>
          <w:color w:val="333333"/>
          <w:sz w:val="27"/>
          <w:szCs w:val="27"/>
          <w:shd w:val="clear" w:color="auto" w:fill="FFFFFF"/>
        </w:rPr>
        <w:t>Bộ Y tế</w:t>
      </w:r>
      <w:r w:rsidRPr="007F0755">
        <w:rPr>
          <w:i/>
          <w:sz w:val="27"/>
          <w:szCs w:val="27"/>
        </w:rPr>
        <w:t>)</w:t>
      </w:r>
    </w:p>
    <w:p w:rsidR="005347F1" w:rsidRDefault="005347F1" w:rsidP="005347F1">
      <w:pPr>
        <w:pStyle w:val="ListParagraph"/>
        <w:spacing w:before="120"/>
        <w:ind w:left="0"/>
        <w:jc w:val="both"/>
        <w:rPr>
          <w:b/>
          <w:i/>
          <w:sz w:val="27"/>
          <w:szCs w:val="27"/>
        </w:rPr>
      </w:pPr>
      <w:r w:rsidRPr="007F0755">
        <w:rPr>
          <w:b/>
          <w:sz w:val="27"/>
          <w:szCs w:val="27"/>
        </w:rPr>
        <w:t xml:space="preserve">2. </w:t>
      </w:r>
      <w:r w:rsidR="003E5AE7">
        <w:rPr>
          <w:b/>
          <w:sz w:val="27"/>
          <w:szCs w:val="27"/>
        </w:rPr>
        <w:t xml:space="preserve">Đối tượng </w:t>
      </w:r>
      <w:r w:rsidRPr="007F0755">
        <w:rPr>
          <w:b/>
          <w:i/>
          <w:sz w:val="27"/>
          <w:szCs w:val="27"/>
        </w:rPr>
        <w:t xml:space="preserve">Bác sĩ Răng Hàm </w:t>
      </w:r>
      <w:r w:rsidR="003E5AE7">
        <w:rPr>
          <w:b/>
          <w:i/>
          <w:sz w:val="27"/>
          <w:szCs w:val="27"/>
        </w:rPr>
        <w:t>Mặt</w:t>
      </w:r>
    </w:p>
    <w:p w:rsidR="003E5AE7" w:rsidRPr="00214D82" w:rsidRDefault="003E5AE7" w:rsidP="005347F1">
      <w:pPr>
        <w:pStyle w:val="ListParagraph"/>
        <w:spacing w:before="120"/>
        <w:ind w:left="0"/>
        <w:jc w:val="both"/>
        <w:rPr>
          <w:sz w:val="27"/>
          <w:szCs w:val="27"/>
        </w:rPr>
      </w:pPr>
      <w:r>
        <w:rPr>
          <w:b/>
          <w:i/>
          <w:sz w:val="27"/>
          <w:szCs w:val="27"/>
        </w:rPr>
        <w:tab/>
      </w:r>
      <w:r w:rsidR="00214D82" w:rsidRPr="00214D82">
        <w:rPr>
          <w:i/>
          <w:sz w:val="27"/>
          <w:szCs w:val="27"/>
        </w:rPr>
        <w:t>Quy trình kỹ thuật về</w:t>
      </w:r>
    </w:p>
    <w:p w:rsidR="005347F1" w:rsidRPr="005347F1" w:rsidRDefault="005347F1" w:rsidP="005347F1">
      <w:pPr>
        <w:spacing w:before="120"/>
        <w:ind w:firstLine="720"/>
        <w:jc w:val="both"/>
        <w:rPr>
          <w:sz w:val="27"/>
          <w:szCs w:val="27"/>
        </w:rPr>
      </w:pPr>
      <w:r w:rsidRPr="005347F1">
        <w:rPr>
          <w:sz w:val="27"/>
          <w:szCs w:val="27"/>
        </w:rPr>
        <w:t>1. Sơ cứu gãy xương vùng hàm mặt</w:t>
      </w:r>
    </w:p>
    <w:p w:rsidR="005347F1" w:rsidRPr="005347F1" w:rsidRDefault="005347F1" w:rsidP="005347F1">
      <w:pPr>
        <w:spacing w:before="120"/>
        <w:ind w:firstLine="720"/>
        <w:jc w:val="both"/>
        <w:rPr>
          <w:sz w:val="27"/>
          <w:szCs w:val="27"/>
        </w:rPr>
      </w:pPr>
      <w:r w:rsidRPr="005347F1">
        <w:rPr>
          <w:sz w:val="27"/>
          <w:szCs w:val="27"/>
        </w:rPr>
        <w:t>2. Điều trị sơ cứu vết thương phần mềm vùng hàm mặt</w:t>
      </w:r>
    </w:p>
    <w:p w:rsidR="005347F1" w:rsidRPr="005347F1" w:rsidRDefault="005347F1" w:rsidP="005347F1">
      <w:pPr>
        <w:spacing w:before="120"/>
        <w:ind w:firstLine="720"/>
        <w:jc w:val="both"/>
        <w:rPr>
          <w:sz w:val="27"/>
          <w:szCs w:val="27"/>
        </w:rPr>
      </w:pPr>
      <w:r w:rsidRPr="005347F1">
        <w:rPr>
          <w:sz w:val="27"/>
          <w:szCs w:val="27"/>
        </w:rPr>
        <w:t>3. Nhổ răng vĩnh viễn.</w:t>
      </w:r>
    </w:p>
    <w:p w:rsidR="005347F1" w:rsidRPr="005347F1" w:rsidRDefault="005347F1" w:rsidP="005347F1">
      <w:pPr>
        <w:spacing w:before="120"/>
        <w:ind w:firstLine="720"/>
        <w:jc w:val="both"/>
        <w:rPr>
          <w:sz w:val="27"/>
          <w:szCs w:val="27"/>
        </w:rPr>
      </w:pPr>
      <w:r w:rsidRPr="005347F1">
        <w:rPr>
          <w:sz w:val="27"/>
          <w:szCs w:val="27"/>
        </w:rPr>
        <w:t>4. Kỹ thuật lấy cao răng</w:t>
      </w:r>
    </w:p>
    <w:p w:rsidR="005347F1" w:rsidRPr="007F0755" w:rsidRDefault="005347F1" w:rsidP="005347F1">
      <w:pPr>
        <w:pStyle w:val="ListParagraph"/>
        <w:spacing w:before="120"/>
        <w:ind w:left="0" w:firstLine="720"/>
        <w:jc w:val="both"/>
        <w:rPr>
          <w:sz w:val="27"/>
          <w:szCs w:val="27"/>
        </w:rPr>
      </w:pPr>
      <w:r w:rsidRPr="007F0755">
        <w:rPr>
          <w:sz w:val="27"/>
          <w:szCs w:val="27"/>
        </w:rPr>
        <w:t>5. Điều trị viêm quanh răng</w:t>
      </w:r>
    </w:p>
    <w:p w:rsidR="005347F1" w:rsidRPr="005347F1" w:rsidRDefault="005347F1" w:rsidP="005347F1">
      <w:pPr>
        <w:spacing w:before="120"/>
        <w:ind w:firstLine="720"/>
        <w:jc w:val="both"/>
        <w:rPr>
          <w:sz w:val="27"/>
          <w:szCs w:val="27"/>
        </w:rPr>
      </w:pPr>
      <w:r w:rsidRPr="005347F1">
        <w:rPr>
          <w:sz w:val="27"/>
          <w:szCs w:val="27"/>
        </w:rPr>
        <w:t>6. Điều trị apxe quanh răng cấp</w:t>
      </w:r>
    </w:p>
    <w:p w:rsidR="005347F1" w:rsidRPr="005347F1" w:rsidRDefault="005347F1" w:rsidP="005347F1">
      <w:pPr>
        <w:spacing w:before="120"/>
        <w:ind w:firstLine="720"/>
        <w:jc w:val="both"/>
        <w:rPr>
          <w:sz w:val="27"/>
          <w:szCs w:val="27"/>
        </w:rPr>
      </w:pPr>
      <w:r w:rsidRPr="005347F1">
        <w:rPr>
          <w:sz w:val="27"/>
          <w:szCs w:val="27"/>
        </w:rPr>
        <w:t>7. Điều trị apxe quanh răng mãn</w:t>
      </w:r>
    </w:p>
    <w:p w:rsidR="005347F1" w:rsidRPr="005347F1" w:rsidRDefault="005347F1" w:rsidP="005347F1">
      <w:pPr>
        <w:spacing w:before="120"/>
        <w:ind w:firstLine="720"/>
        <w:jc w:val="both"/>
        <w:rPr>
          <w:sz w:val="27"/>
          <w:szCs w:val="27"/>
        </w:rPr>
      </w:pPr>
      <w:r w:rsidRPr="005347F1">
        <w:rPr>
          <w:sz w:val="27"/>
          <w:szCs w:val="27"/>
        </w:rPr>
        <w:t>8. Chích apxe lợi</w:t>
      </w:r>
    </w:p>
    <w:p w:rsidR="005347F1" w:rsidRPr="005347F1" w:rsidRDefault="005347F1" w:rsidP="005347F1">
      <w:pPr>
        <w:spacing w:before="120"/>
        <w:ind w:firstLine="720"/>
        <w:jc w:val="both"/>
        <w:rPr>
          <w:sz w:val="27"/>
          <w:szCs w:val="27"/>
        </w:rPr>
      </w:pPr>
      <w:r w:rsidRPr="005347F1">
        <w:rPr>
          <w:sz w:val="27"/>
          <w:szCs w:val="27"/>
        </w:rPr>
        <w:t>9. Lấy tủy buồng răng vĩnh viễn</w:t>
      </w:r>
    </w:p>
    <w:p w:rsidR="005347F1" w:rsidRDefault="005347F1" w:rsidP="005347F1">
      <w:pPr>
        <w:spacing w:before="120"/>
        <w:ind w:firstLine="720"/>
        <w:jc w:val="both"/>
        <w:rPr>
          <w:sz w:val="27"/>
          <w:szCs w:val="27"/>
        </w:rPr>
      </w:pPr>
      <w:r w:rsidRPr="005347F1">
        <w:rPr>
          <w:sz w:val="27"/>
          <w:szCs w:val="27"/>
        </w:rPr>
        <w:t>10. Nắn sai khớp thái dương hàm</w:t>
      </w:r>
    </w:p>
    <w:p w:rsidR="003E5AE7" w:rsidRPr="005347F1" w:rsidRDefault="003E5AE7" w:rsidP="00214D82">
      <w:pPr>
        <w:spacing w:before="120"/>
        <w:ind w:firstLine="720"/>
        <w:jc w:val="both"/>
        <w:rPr>
          <w:sz w:val="27"/>
          <w:szCs w:val="27"/>
        </w:rPr>
      </w:pPr>
      <w:r w:rsidRPr="007F0755">
        <w:rPr>
          <w:b/>
          <w:i/>
          <w:sz w:val="27"/>
          <w:szCs w:val="27"/>
        </w:rPr>
        <w:t xml:space="preserve"> </w:t>
      </w:r>
      <w:r w:rsidRPr="007F0755">
        <w:rPr>
          <w:sz w:val="27"/>
          <w:szCs w:val="27"/>
        </w:rPr>
        <w:t>(</w:t>
      </w:r>
      <w:r w:rsidRPr="007F0755">
        <w:rPr>
          <w:i/>
          <w:sz w:val="27"/>
          <w:szCs w:val="27"/>
        </w:rPr>
        <w:t xml:space="preserve">Tài liệu: Quy trình </w:t>
      </w:r>
      <w:r w:rsidR="00ED5089">
        <w:rPr>
          <w:i/>
          <w:sz w:val="27"/>
          <w:szCs w:val="27"/>
        </w:rPr>
        <w:t xml:space="preserve">chuyên môn </w:t>
      </w:r>
      <w:r w:rsidRPr="007F0755">
        <w:rPr>
          <w:i/>
          <w:sz w:val="27"/>
          <w:szCs w:val="27"/>
        </w:rPr>
        <w:t>kỹ thuật</w:t>
      </w:r>
      <w:r w:rsidR="00ED5089">
        <w:rPr>
          <w:i/>
          <w:sz w:val="27"/>
          <w:szCs w:val="27"/>
        </w:rPr>
        <w:t xml:space="preserve"> về Răng hàm mặt</w:t>
      </w:r>
      <w:r w:rsidRPr="007F0755">
        <w:rPr>
          <w:i/>
          <w:sz w:val="27"/>
          <w:szCs w:val="27"/>
        </w:rPr>
        <w:t xml:space="preserve"> Ban hành theo Quyết định số 3207/QĐ-BYT ngày 29/8/2</w:t>
      </w:r>
      <w:r w:rsidR="00214D82">
        <w:rPr>
          <w:i/>
          <w:sz w:val="27"/>
          <w:szCs w:val="27"/>
        </w:rPr>
        <w:t xml:space="preserve">013 của </w:t>
      </w:r>
      <w:r w:rsidRPr="007F0755">
        <w:rPr>
          <w:i/>
          <w:sz w:val="27"/>
          <w:szCs w:val="27"/>
        </w:rPr>
        <w:t>Bộ Y tế)</w:t>
      </w:r>
    </w:p>
    <w:p w:rsidR="005347F1" w:rsidRPr="007F0755" w:rsidRDefault="005347F1" w:rsidP="005347F1">
      <w:pPr>
        <w:spacing w:before="120"/>
        <w:jc w:val="both"/>
        <w:rPr>
          <w:i/>
          <w:sz w:val="27"/>
          <w:szCs w:val="27"/>
        </w:rPr>
      </w:pPr>
      <w:r w:rsidRPr="007F0755">
        <w:rPr>
          <w:b/>
          <w:sz w:val="27"/>
          <w:szCs w:val="27"/>
        </w:rPr>
        <w:t xml:space="preserve">3. </w:t>
      </w:r>
      <w:r w:rsidR="003E5AE7">
        <w:rPr>
          <w:b/>
          <w:sz w:val="27"/>
          <w:szCs w:val="27"/>
        </w:rPr>
        <w:t xml:space="preserve">Đối tượng </w:t>
      </w:r>
      <w:r w:rsidRPr="007F0755">
        <w:rPr>
          <w:b/>
          <w:i/>
          <w:sz w:val="27"/>
          <w:szCs w:val="27"/>
        </w:rPr>
        <w:t xml:space="preserve">Bác sĩ YHCT  </w:t>
      </w:r>
    </w:p>
    <w:p w:rsidR="005347F1" w:rsidRPr="00AC3A11" w:rsidRDefault="00ED5089" w:rsidP="005347F1">
      <w:pPr>
        <w:spacing w:before="120"/>
        <w:jc w:val="both"/>
        <w:rPr>
          <w:sz w:val="27"/>
          <w:szCs w:val="27"/>
        </w:rPr>
      </w:pPr>
      <w:r>
        <w:rPr>
          <w:sz w:val="27"/>
          <w:szCs w:val="27"/>
        </w:rPr>
        <w:tab/>
        <w:t>1</w:t>
      </w:r>
      <w:r w:rsidR="005347F1" w:rsidRPr="007F0755">
        <w:rPr>
          <w:sz w:val="27"/>
          <w:szCs w:val="27"/>
        </w:rPr>
        <w:t xml:space="preserve">. </w:t>
      </w:r>
      <w:r w:rsidR="004D39E4">
        <w:rPr>
          <w:sz w:val="27"/>
          <w:szCs w:val="27"/>
          <w:lang w:val="pt-BR"/>
        </w:rPr>
        <w:t>Quy trình số 2: Vọng chẩn</w:t>
      </w:r>
    </w:p>
    <w:p w:rsidR="005347F1" w:rsidRPr="007F0755" w:rsidRDefault="00ED5089" w:rsidP="005347F1">
      <w:pPr>
        <w:spacing w:before="120"/>
        <w:jc w:val="both"/>
        <w:rPr>
          <w:sz w:val="27"/>
          <w:szCs w:val="27"/>
        </w:rPr>
      </w:pPr>
      <w:r>
        <w:rPr>
          <w:sz w:val="27"/>
          <w:szCs w:val="27"/>
          <w:lang w:val="pt-BR"/>
        </w:rPr>
        <w:tab/>
        <w:t>2</w:t>
      </w:r>
      <w:r w:rsidR="005347F1" w:rsidRPr="007F0755">
        <w:rPr>
          <w:sz w:val="27"/>
          <w:szCs w:val="27"/>
          <w:lang w:val="pt-BR"/>
        </w:rPr>
        <w:t xml:space="preserve">. </w:t>
      </w:r>
      <w:r w:rsidR="004D39E4">
        <w:rPr>
          <w:sz w:val="27"/>
          <w:szCs w:val="27"/>
          <w:lang w:val="pt-BR"/>
        </w:rPr>
        <w:t xml:space="preserve">Quy trình số 4: </w:t>
      </w:r>
      <w:r w:rsidR="005347F1" w:rsidRPr="007F0755">
        <w:rPr>
          <w:sz w:val="27"/>
          <w:szCs w:val="27"/>
        </w:rPr>
        <w:t>Vấn chẩn</w:t>
      </w:r>
    </w:p>
    <w:p w:rsidR="005347F1" w:rsidRPr="007F0755" w:rsidRDefault="00ED5089" w:rsidP="005347F1">
      <w:pPr>
        <w:spacing w:before="120"/>
        <w:jc w:val="both"/>
        <w:rPr>
          <w:sz w:val="27"/>
          <w:szCs w:val="27"/>
        </w:rPr>
      </w:pPr>
      <w:r>
        <w:rPr>
          <w:sz w:val="27"/>
          <w:szCs w:val="27"/>
        </w:rPr>
        <w:tab/>
        <w:t>3</w:t>
      </w:r>
      <w:r w:rsidR="005347F1" w:rsidRPr="007F0755">
        <w:rPr>
          <w:sz w:val="27"/>
          <w:szCs w:val="27"/>
        </w:rPr>
        <w:t xml:space="preserve">. </w:t>
      </w:r>
      <w:r w:rsidR="004D39E4">
        <w:rPr>
          <w:sz w:val="27"/>
          <w:szCs w:val="27"/>
          <w:lang w:val="pt-BR"/>
        </w:rPr>
        <w:t xml:space="preserve">Quy trình số 5: </w:t>
      </w:r>
      <w:r w:rsidR="005347F1" w:rsidRPr="007F0755">
        <w:rPr>
          <w:sz w:val="27"/>
          <w:szCs w:val="27"/>
        </w:rPr>
        <w:t>Thiết chẩn</w:t>
      </w:r>
    </w:p>
    <w:p w:rsidR="005347F1" w:rsidRDefault="00ED5089" w:rsidP="005347F1">
      <w:pPr>
        <w:spacing w:before="120"/>
        <w:jc w:val="both"/>
        <w:rPr>
          <w:sz w:val="27"/>
          <w:szCs w:val="27"/>
        </w:rPr>
      </w:pPr>
      <w:r>
        <w:rPr>
          <w:sz w:val="27"/>
          <w:szCs w:val="27"/>
        </w:rPr>
        <w:tab/>
        <w:t>4</w:t>
      </w:r>
      <w:r w:rsidR="005347F1" w:rsidRPr="007F0755">
        <w:rPr>
          <w:sz w:val="27"/>
          <w:szCs w:val="27"/>
        </w:rPr>
        <w:t>.</w:t>
      </w:r>
      <w:r w:rsidR="005347F1" w:rsidRPr="007F0755">
        <w:rPr>
          <w:sz w:val="27"/>
          <w:szCs w:val="27"/>
          <w:lang w:val="fr-FR"/>
        </w:rPr>
        <w:t xml:space="preserve"> </w:t>
      </w:r>
      <w:r w:rsidR="004D39E4">
        <w:rPr>
          <w:sz w:val="27"/>
          <w:szCs w:val="27"/>
          <w:lang w:val="pt-BR"/>
        </w:rPr>
        <w:t xml:space="preserve">Quy trình số 6: </w:t>
      </w:r>
      <w:r w:rsidR="004D39E4">
        <w:rPr>
          <w:sz w:val="27"/>
          <w:szCs w:val="27"/>
          <w:lang w:val="fr-FR"/>
        </w:rPr>
        <w:t>C</w:t>
      </w:r>
      <w:r w:rsidR="005347F1" w:rsidRPr="007F0755">
        <w:rPr>
          <w:sz w:val="27"/>
          <w:szCs w:val="27"/>
          <w:lang w:val="fr-FR"/>
        </w:rPr>
        <w:t xml:space="preserve">hẩn đoán bằng </w:t>
      </w:r>
      <w:r w:rsidR="005347F1" w:rsidRPr="007F0755">
        <w:rPr>
          <w:sz w:val="27"/>
          <w:szCs w:val="27"/>
        </w:rPr>
        <w:t>Y học cổ truyền</w:t>
      </w:r>
    </w:p>
    <w:p w:rsidR="004D39E4" w:rsidRDefault="004D39E4" w:rsidP="005347F1">
      <w:pPr>
        <w:spacing w:before="12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ED5089">
        <w:rPr>
          <w:sz w:val="27"/>
          <w:szCs w:val="27"/>
        </w:rPr>
        <w:t xml:space="preserve">5. </w:t>
      </w:r>
      <w:r>
        <w:rPr>
          <w:sz w:val="27"/>
          <w:szCs w:val="27"/>
          <w:lang w:val="pt-BR"/>
        </w:rPr>
        <w:t>Quy trình số 7</w:t>
      </w:r>
      <w:r>
        <w:rPr>
          <w:sz w:val="27"/>
          <w:szCs w:val="27"/>
          <w:lang w:val="pt-BR"/>
        </w:rPr>
        <w:t xml:space="preserve">: </w:t>
      </w:r>
      <w:r>
        <w:rPr>
          <w:sz w:val="27"/>
          <w:szCs w:val="27"/>
          <w:lang w:val="fr-FR"/>
        </w:rPr>
        <w:t>Kê đơn thuốc</w:t>
      </w:r>
      <w:r w:rsidR="00ED5089">
        <w:rPr>
          <w:sz w:val="27"/>
          <w:szCs w:val="27"/>
          <w:lang w:val="fr-FR"/>
        </w:rPr>
        <w:t xml:space="preserve"> </w:t>
      </w:r>
      <w:r w:rsidRPr="007F0755">
        <w:rPr>
          <w:sz w:val="27"/>
          <w:szCs w:val="27"/>
        </w:rPr>
        <w:t>Y học cổ truyền</w:t>
      </w:r>
    </w:p>
    <w:p w:rsidR="005347F1" w:rsidRPr="007F0755" w:rsidRDefault="005347F1" w:rsidP="005347F1">
      <w:pPr>
        <w:spacing w:before="12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6. </w:t>
      </w:r>
      <w:r w:rsidR="004D39E4">
        <w:rPr>
          <w:sz w:val="27"/>
          <w:szCs w:val="27"/>
          <w:lang w:val="pt-BR"/>
        </w:rPr>
        <w:t xml:space="preserve">Quy trình số 15: </w:t>
      </w:r>
      <w:r>
        <w:rPr>
          <w:sz w:val="27"/>
          <w:szCs w:val="27"/>
        </w:rPr>
        <w:t>Điện châm điều trị đau đầu</w:t>
      </w:r>
    </w:p>
    <w:p w:rsidR="005347F1" w:rsidRPr="007F0755" w:rsidRDefault="005347F1" w:rsidP="005347F1">
      <w:pPr>
        <w:spacing w:before="120"/>
        <w:jc w:val="both"/>
        <w:rPr>
          <w:sz w:val="27"/>
          <w:szCs w:val="27"/>
          <w:lang w:val="pt-BR"/>
        </w:rPr>
      </w:pPr>
      <w:r w:rsidRPr="007F0755">
        <w:rPr>
          <w:sz w:val="27"/>
          <w:szCs w:val="27"/>
        </w:rPr>
        <w:tab/>
        <w:t>7.</w:t>
      </w:r>
      <w:r w:rsidRPr="007F0755">
        <w:rPr>
          <w:sz w:val="27"/>
          <w:szCs w:val="27"/>
          <w:lang w:val="pt-BR"/>
        </w:rPr>
        <w:t xml:space="preserve"> </w:t>
      </w:r>
      <w:r w:rsidR="00214D82">
        <w:rPr>
          <w:sz w:val="27"/>
          <w:szCs w:val="27"/>
          <w:lang w:val="pt-BR"/>
        </w:rPr>
        <w:t xml:space="preserve">Quy trình số 25: </w:t>
      </w:r>
      <w:r w:rsidRPr="007F0755">
        <w:rPr>
          <w:sz w:val="27"/>
          <w:szCs w:val="27"/>
          <w:lang w:val="pt-BR"/>
        </w:rPr>
        <w:t>Điện châm điều trị đau thần kinh tọa</w:t>
      </w:r>
    </w:p>
    <w:p w:rsidR="00214D82" w:rsidRDefault="005347F1" w:rsidP="005347F1">
      <w:pPr>
        <w:spacing w:before="120"/>
        <w:jc w:val="both"/>
        <w:rPr>
          <w:sz w:val="27"/>
          <w:szCs w:val="27"/>
          <w:lang w:val="pt-BR"/>
        </w:rPr>
      </w:pPr>
      <w:r>
        <w:rPr>
          <w:sz w:val="27"/>
          <w:szCs w:val="27"/>
          <w:lang w:val="pt-BR"/>
        </w:rPr>
        <w:lastRenderedPageBreak/>
        <w:tab/>
      </w:r>
      <w:r w:rsidR="00ED5089">
        <w:rPr>
          <w:sz w:val="27"/>
          <w:szCs w:val="27"/>
          <w:lang w:val="pt-BR"/>
        </w:rPr>
        <w:t xml:space="preserve">8. </w:t>
      </w:r>
      <w:r w:rsidR="00214D82">
        <w:rPr>
          <w:sz w:val="27"/>
          <w:szCs w:val="27"/>
          <w:lang w:val="pt-BR"/>
        </w:rPr>
        <w:t>Quy trình số 29</w:t>
      </w:r>
      <w:r w:rsidR="00214D82">
        <w:rPr>
          <w:sz w:val="27"/>
          <w:szCs w:val="27"/>
          <w:lang w:val="pt-BR"/>
        </w:rPr>
        <w:t xml:space="preserve">: </w:t>
      </w:r>
      <w:r w:rsidR="00214D82" w:rsidRPr="007F0755">
        <w:rPr>
          <w:sz w:val="27"/>
          <w:szCs w:val="27"/>
          <w:lang w:val="pt-BR"/>
        </w:rPr>
        <w:t xml:space="preserve">Điện châm điều trị </w:t>
      </w:r>
      <w:r w:rsidR="00214D82">
        <w:rPr>
          <w:sz w:val="27"/>
          <w:szCs w:val="27"/>
          <w:lang w:val="pt-BR"/>
        </w:rPr>
        <w:t>liệt nửa người do tai biến mạch máu não</w:t>
      </w:r>
    </w:p>
    <w:p w:rsidR="005347F1" w:rsidRPr="007F0755" w:rsidRDefault="005347F1" w:rsidP="004D39E4">
      <w:pPr>
        <w:spacing w:before="120"/>
        <w:ind w:firstLine="720"/>
        <w:jc w:val="both"/>
        <w:rPr>
          <w:sz w:val="27"/>
          <w:szCs w:val="27"/>
        </w:rPr>
      </w:pPr>
      <w:r>
        <w:rPr>
          <w:sz w:val="27"/>
          <w:szCs w:val="27"/>
          <w:lang w:val="fr-FR"/>
        </w:rPr>
        <w:t>9</w:t>
      </w:r>
      <w:r w:rsidRPr="007F0755">
        <w:rPr>
          <w:sz w:val="27"/>
          <w:szCs w:val="27"/>
          <w:lang w:val="fr-FR"/>
        </w:rPr>
        <w:t>.</w:t>
      </w:r>
      <w:r w:rsidRPr="007F0755">
        <w:rPr>
          <w:sz w:val="27"/>
          <w:szCs w:val="27"/>
        </w:rPr>
        <w:t xml:space="preserve"> </w:t>
      </w:r>
      <w:r w:rsidR="004D39E4">
        <w:rPr>
          <w:sz w:val="27"/>
          <w:szCs w:val="27"/>
          <w:lang w:val="pt-BR"/>
        </w:rPr>
        <w:t xml:space="preserve">Quy trình số 72: </w:t>
      </w:r>
      <w:r w:rsidRPr="007F0755">
        <w:rPr>
          <w:sz w:val="27"/>
          <w:szCs w:val="27"/>
        </w:rPr>
        <w:t>Quy trình bấm huyệt</w:t>
      </w:r>
    </w:p>
    <w:p w:rsidR="005347F1" w:rsidRDefault="005347F1" w:rsidP="005347F1">
      <w:pPr>
        <w:spacing w:before="120"/>
        <w:jc w:val="both"/>
        <w:rPr>
          <w:sz w:val="27"/>
          <w:szCs w:val="27"/>
        </w:rPr>
      </w:pPr>
      <w:r>
        <w:rPr>
          <w:sz w:val="27"/>
          <w:szCs w:val="27"/>
        </w:rPr>
        <w:tab/>
        <w:t>10</w:t>
      </w:r>
      <w:r w:rsidRPr="007F0755">
        <w:rPr>
          <w:sz w:val="27"/>
          <w:szCs w:val="27"/>
        </w:rPr>
        <w:t>. Quy trình</w:t>
      </w:r>
      <w:r w:rsidR="00ED5089">
        <w:rPr>
          <w:sz w:val="27"/>
          <w:szCs w:val="27"/>
        </w:rPr>
        <w:t xml:space="preserve"> số 74:</w:t>
      </w:r>
      <w:r w:rsidRPr="007F0755">
        <w:rPr>
          <w:sz w:val="27"/>
          <w:szCs w:val="27"/>
        </w:rPr>
        <w:t xml:space="preserve"> </w:t>
      </w:r>
      <w:r w:rsidR="00ED5089">
        <w:rPr>
          <w:sz w:val="27"/>
          <w:szCs w:val="27"/>
        </w:rPr>
        <w:t>Nguyên tắc điều trị lão khoa Y học cổ truyền</w:t>
      </w:r>
    </w:p>
    <w:p w:rsidR="00214D82" w:rsidRPr="007F0755" w:rsidRDefault="00214D82" w:rsidP="00214D82">
      <w:pPr>
        <w:spacing w:before="120"/>
        <w:ind w:firstLine="720"/>
        <w:jc w:val="both"/>
        <w:rPr>
          <w:sz w:val="27"/>
          <w:szCs w:val="27"/>
        </w:rPr>
      </w:pPr>
      <w:r w:rsidRPr="007F0755">
        <w:rPr>
          <w:b/>
          <w:i/>
          <w:sz w:val="27"/>
          <w:szCs w:val="27"/>
        </w:rPr>
        <w:t>(</w:t>
      </w:r>
      <w:r w:rsidRPr="007F0755">
        <w:rPr>
          <w:i/>
          <w:sz w:val="27"/>
          <w:szCs w:val="27"/>
        </w:rPr>
        <w:t>Tài liệu: Quy trình kỹ thuật</w:t>
      </w:r>
      <w:r w:rsidR="00ED5089">
        <w:rPr>
          <w:i/>
          <w:sz w:val="27"/>
          <w:szCs w:val="27"/>
        </w:rPr>
        <w:t xml:space="preserve"> Y học cổ truyền</w:t>
      </w:r>
      <w:r w:rsidRPr="007F0755">
        <w:rPr>
          <w:i/>
          <w:sz w:val="27"/>
          <w:szCs w:val="27"/>
        </w:rPr>
        <w:t xml:space="preserve"> Ban hành</w:t>
      </w:r>
      <w:r>
        <w:rPr>
          <w:i/>
          <w:sz w:val="27"/>
          <w:szCs w:val="27"/>
        </w:rPr>
        <w:t xml:space="preserve"> theo Quyết định số 26/2008/QĐ-BYT ngày 22/7/2008</w:t>
      </w:r>
      <w:r w:rsidRPr="007F0755">
        <w:rPr>
          <w:i/>
          <w:sz w:val="27"/>
          <w:szCs w:val="27"/>
        </w:rPr>
        <w:t xml:space="preserve"> của Bộ Y tế về việc Hướng dẫn Quy trình kỹ thuật khám bệnh, chữa bệnh Y học cổ truyền).</w:t>
      </w:r>
    </w:p>
    <w:p w:rsidR="005347F1" w:rsidRPr="007F0755" w:rsidRDefault="005347F1" w:rsidP="005347F1">
      <w:pPr>
        <w:pStyle w:val="ListParagraph"/>
        <w:spacing w:before="120"/>
        <w:ind w:left="0"/>
        <w:jc w:val="both"/>
        <w:rPr>
          <w:b/>
          <w:sz w:val="27"/>
          <w:szCs w:val="27"/>
        </w:rPr>
      </w:pPr>
      <w:r w:rsidRPr="007F0755">
        <w:rPr>
          <w:b/>
          <w:sz w:val="27"/>
          <w:szCs w:val="27"/>
        </w:rPr>
        <w:t xml:space="preserve">4. </w:t>
      </w:r>
      <w:r w:rsidR="003E5AE7">
        <w:rPr>
          <w:b/>
          <w:sz w:val="27"/>
          <w:szCs w:val="27"/>
        </w:rPr>
        <w:t xml:space="preserve">Đối tượng </w:t>
      </w:r>
      <w:r w:rsidRPr="004E1587">
        <w:rPr>
          <w:b/>
          <w:i/>
          <w:sz w:val="27"/>
          <w:szCs w:val="27"/>
        </w:rPr>
        <w:t>Bác sĩ Y học dự phòng</w:t>
      </w:r>
      <w:r w:rsidRPr="007F0755">
        <w:rPr>
          <w:b/>
          <w:sz w:val="27"/>
          <w:szCs w:val="27"/>
        </w:rPr>
        <w:t xml:space="preserve"> </w:t>
      </w:r>
    </w:p>
    <w:p w:rsidR="005C36C4" w:rsidRDefault="005C36C4" w:rsidP="00DC033B">
      <w:pPr>
        <w:spacing w:before="12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Hướng dẫn phát hiện người có yếu tố nguy cơ mắc một số bệnh không lây nhiễm phổ biến </w:t>
      </w:r>
      <w:r>
        <w:rPr>
          <w:i/>
          <w:sz w:val="27"/>
          <w:szCs w:val="27"/>
        </w:rPr>
        <w:t xml:space="preserve">(Tài liệu: </w:t>
      </w:r>
      <w:r>
        <w:rPr>
          <w:i/>
          <w:sz w:val="27"/>
          <w:szCs w:val="27"/>
        </w:rPr>
        <w:t xml:space="preserve">Phụ lục 1A- </w:t>
      </w:r>
      <w:r>
        <w:rPr>
          <w:i/>
          <w:sz w:val="27"/>
          <w:szCs w:val="27"/>
        </w:rPr>
        <w:t>b</w:t>
      </w:r>
      <w:r w:rsidRPr="007F0755">
        <w:rPr>
          <w:bCs/>
          <w:i/>
          <w:color w:val="333333"/>
          <w:sz w:val="27"/>
          <w:szCs w:val="27"/>
          <w:shd w:val="clear" w:color="auto" w:fill="FFFFFF"/>
        </w:rPr>
        <w:t xml:space="preserve">an hành kèm theo Quyết định số </w:t>
      </w:r>
      <w:r>
        <w:rPr>
          <w:bCs/>
          <w:i/>
          <w:color w:val="333333"/>
          <w:sz w:val="27"/>
          <w:szCs w:val="27"/>
          <w:shd w:val="clear" w:color="auto" w:fill="FFFFFF"/>
        </w:rPr>
        <w:t>3756</w:t>
      </w:r>
      <w:r w:rsidRPr="007F0755">
        <w:rPr>
          <w:bCs/>
          <w:i/>
          <w:color w:val="333333"/>
          <w:sz w:val="27"/>
          <w:szCs w:val="27"/>
          <w:shd w:val="clear" w:color="auto" w:fill="FFFFFF"/>
        </w:rPr>
        <w:t xml:space="preserve">/QĐ-BYT ngày </w:t>
      </w:r>
      <w:r>
        <w:rPr>
          <w:bCs/>
          <w:i/>
          <w:color w:val="333333"/>
          <w:sz w:val="27"/>
          <w:szCs w:val="27"/>
          <w:shd w:val="clear" w:color="auto" w:fill="FFFFFF"/>
        </w:rPr>
        <w:t xml:space="preserve">21/6/2018 của </w:t>
      </w:r>
      <w:r w:rsidRPr="007F0755">
        <w:rPr>
          <w:bCs/>
          <w:i/>
          <w:color w:val="333333"/>
          <w:sz w:val="27"/>
          <w:szCs w:val="27"/>
          <w:shd w:val="clear" w:color="auto" w:fill="FFFFFF"/>
        </w:rPr>
        <w:t>Bộ Y tế</w:t>
      </w:r>
      <w:r w:rsidRPr="007F0755">
        <w:rPr>
          <w:i/>
          <w:sz w:val="27"/>
          <w:szCs w:val="27"/>
        </w:rPr>
        <w:t>)</w:t>
      </w:r>
    </w:p>
    <w:p w:rsidR="005C36C4" w:rsidRDefault="005C36C4" w:rsidP="005C36C4">
      <w:pPr>
        <w:spacing w:before="12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>
        <w:rPr>
          <w:sz w:val="27"/>
          <w:szCs w:val="27"/>
        </w:rPr>
        <w:t xml:space="preserve">. Hướng dẫn phát hiện người </w:t>
      </w:r>
      <w:r>
        <w:rPr>
          <w:sz w:val="27"/>
          <w:szCs w:val="27"/>
        </w:rPr>
        <w:t>nghi ngờ</w:t>
      </w:r>
      <w:r>
        <w:rPr>
          <w:sz w:val="27"/>
          <w:szCs w:val="27"/>
        </w:rPr>
        <w:t xml:space="preserve"> mắc một số bệnh không lây nhiễm phổ biến </w:t>
      </w:r>
      <w:r>
        <w:rPr>
          <w:i/>
          <w:sz w:val="27"/>
          <w:szCs w:val="27"/>
        </w:rPr>
        <w:t xml:space="preserve">(Tài liệu: </w:t>
      </w:r>
      <w:r>
        <w:rPr>
          <w:i/>
          <w:sz w:val="27"/>
          <w:szCs w:val="27"/>
        </w:rPr>
        <w:t>Phụ lục 1B</w:t>
      </w:r>
      <w:r>
        <w:rPr>
          <w:i/>
          <w:sz w:val="27"/>
          <w:szCs w:val="27"/>
        </w:rPr>
        <w:t>- b</w:t>
      </w:r>
      <w:r w:rsidRPr="007F0755">
        <w:rPr>
          <w:bCs/>
          <w:i/>
          <w:color w:val="333333"/>
          <w:sz w:val="27"/>
          <w:szCs w:val="27"/>
          <w:shd w:val="clear" w:color="auto" w:fill="FFFFFF"/>
        </w:rPr>
        <w:t xml:space="preserve">an hành kèm theo Quyết định số </w:t>
      </w:r>
      <w:r>
        <w:rPr>
          <w:bCs/>
          <w:i/>
          <w:color w:val="333333"/>
          <w:sz w:val="27"/>
          <w:szCs w:val="27"/>
          <w:shd w:val="clear" w:color="auto" w:fill="FFFFFF"/>
        </w:rPr>
        <w:t>3756</w:t>
      </w:r>
      <w:r w:rsidRPr="007F0755">
        <w:rPr>
          <w:bCs/>
          <w:i/>
          <w:color w:val="333333"/>
          <w:sz w:val="27"/>
          <w:szCs w:val="27"/>
          <w:shd w:val="clear" w:color="auto" w:fill="FFFFFF"/>
        </w:rPr>
        <w:t xml:space="preserve">/QĐ-BYT ngày </w:t>
      </w:r>
      <w:r>
        <w:rPr>
          <w:bCs/>
          <w:i/>
          <w:color w:val="333333"/>
          <w:sz w:val="27"/>
          <w:szCs w:val="27"/>
          <w:shd w:val="clear" w:color="auto" w:fill="FFFFFF"/>
        </w:rPr>
        <w:t xml:space="preserve">21/6/2018 của </w:t>
      </w:r>
      <w:r w:rsidRPr="007F0755">
        <w:rPr>
          <w:bCs/>
          <w:i/>
          <w:color w:val="333333"/>
          <w:sz w:val="27"/>
          <w:szCs w:val="27"/>
          <w:shd w:val="clear" w:color="auto" w:fill="FFFFFF"/>
        </w:rPr>
        <w:t>Bộ Y tế</w:t>
      </w:r>
      <w:r w:rsidRPr="007F0755">
        <w:rPr>
          <w:i/>
          <w:sz w:val="27"/>
          <w:szCs w:val="27"/>
        </w:rPr>
        <w:t>)</w:t>
      </w:r>
    </w:p>
    <w:p w:rsidR="00DC033B" w:rsidRPr="0054467C" w:rsidRDefault="005C36C4" w:rsidP="00DC033B">
      <w:pPr>
        <w:spacing w:before="12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DC033B" w:rsidRPr="0054467C">
        <w:rPr>
          <w:sz w:val="27"/>
          <w:szCs w:val="27"/>
        </w:rPr>
        <w:t>. Quy trình giám sát bệnh truyền nhiễm (</w:t>
      </w:r>
      <w:r w:rsidR="00DC033B" w:rsidRPr="0054467C">
        <w:rPr>
          <w:i/>
          <w:sz w:val="27"/>
          <w:szCs w:val="27"/>
        </w:rPr>
        <w:t>tài liệu ban hành theo Thông tư 13/2013/TT-BYT ngày 17/4/2013 về Giám sát bệnh truyền nhiễm</w:t>
      </w:r>
      <w:r w:rsidR="00DC033B" w:rsidRPr="0054467C">
        <w:rPr>
          <w:sz w:val="27"/>
          <w:szCs w:val="27"/>
        </w:rPr>
        <w:t>)</w:t>
      </w:r>
    </w:p>
    <w:p w:rsidR="00AD20DD" w:rsidRPr="00DC033B" w:rsidRDefault="005C36C4" w:rsidP="00DC033B">
      <w:pPr>
        <w:spacing w:before="120"/>
        <w:jc w:val="both"/>
        <w:rPr>
          <w:sz w:val="27"/>
          <w:szCs w:val="27"/>
        </w:rPr>
      </w:pPr>
      <w:r>
        <w:rPr>
          <w:sz w:val="27"/>
          <w:szCs w:val="27"/>
        </w:rPr>
        <w:tab/>
        <w:t>4</w:t>
      </w:r>
      <w:r w:rsidR="00DC033B" w:rsidRPr="0054467C">
        <w:rPr>
          <w:sz w:val="27"/>
          <w:szCs w:val="27"/>
        </w:rPr>
        <w:t>.  Quy trình điều tra bệnh dịch/ổ dịch và hoạt động phòng chống dịch (</w:t>
      </w:r>
      <w:r w:rsidR="00DC033B" w:rsidRPr="0054467C">
        <w:rPr>
          <w:i/>
          <w:sz w:val="27"/>
          <w:szCs w:val="27"/>
        </w:rPr>
        <w:t xml:space="preserve">tài liệu ban hành theo Thông tư 13/2013/TT-BYT ngày 17/4/2013 </w:t>
      </w:r>
      <w:r>
        <w:rPr>
          <w:i/>
          <w:sz w:val="27"/>
          <w:szCs w:val="27"/>
        </w:rPr>
        <w:t xml:space="preserve">của Bộ Y tế </w:t>
      </w:r>
      <w:r w:rsidR="00DC033B" w:rsidRPr="0054467C">
        <w:rPr>
          <w:i/>
          <w:sz w:val="27"/>
          <w:szCs w:val="27"/>
        </w:rPr>
        <w:t>về Giám sát bệnh truyền nhiễm</w:t>
      </w:r>
      <w:r w:rsidR="00DC033B" w:rsidRPr="0054467C">
        <w:rPr>
          <w:sz w:val="27"/>
          <w:szCs w:val="27"/>
        </w:rPr>
        <w:t>)</w:t>
      </w:r>
    </w:p>
    <w:p w:rsidR="00464196" w:rsidRPr="007F0755" w:rsidRDefault="005C36C4" w:rsidP="00464196">
      <w:pPr>
        <w:pStyle w:val="NormalWeb"/>
        <w:spacing w:before="120" w:beforeAutospacing="0" w:after="0" w:afterAutospacing="0"/>
        <w:ind w:firstLine="720"/>
        <w:jc w:val="both"/>
        <w:rPr>
          <w:bCs/>
          <w:i/>
          <w:color w:val="333333"/>
          <w:sz w:val="27"/>
          <w:szCs w:val="27"/>
          <w:shd w:val="clear" w:color="auto" w:fill="FFFFFF"/>
        </w:rPr>
      </w:pPr>
      <w:r>
        <w:rPr>
          <w:bCs/>
          <w:color w:val="333333"/>
          <w:sz w:val="27"/>
          <w:szCs w:val="27"/>
          <w:shd w:val="clear" w:color="auto" w:fill="FFFFFF"/>
        </w:rPr>
        <w:t>5</w:t>
      </w:r>
      <w:r w:rsidR="00AD20DD">
        <w:rPr>
          <w:bCs/>
          <w:color w:val="333333"/>
          <w:sz w:val="27"/>
          <w:szCs w:val="27"/>
          <w:shd w:val="clear" w:color="auto" w:fill="FFFFFF"/>
        </w:rPr>
        <w:t xml:space="preserve">. </w:t>
      </w:r>
      <w:r w:rsidR="00464196">
        <w:rPr>
          <w:bCs/>
          <w:color w:val="333333"/>
          <w:sz w:val="27"/>
          <w:szCs w:val="27"/>
          <w:shd w:val="clear" w:color="auto" w:fill="FFFFFF"/>
        </w:rPr>
        <w:t>Giám sát và phòng chống bệnh tay chân miệng</w:t>
      </w:r>
      <w:r w:rsidR="005347F1" w:rsidRPr="007F0755">
        <w:rPr>
          <w:bCs/>
          <w:color w:val="333333"/>
          <w:sz w:val="27"/>
          <w:szCs w:val="27"/>
          <w:shd w:val="clear" w:color="auto" w:fill="FFFFFF"/>
        </w:rPr>
        <w:t xml:space="preserve"> </w:t>
      </w:r>
      <w:r w:rsidR="00464196">
        <w:rPr>
          <w:i/>
          <w:sz w:val="27"/>
          <w:szCs w:val="27"/>
        </w:rPr>
        <w:t>(Tài liệu: b</w:t>
      </w:r>
      <w:r w:rsidR="00464196" w:rsidRPr="007F0755">
        <w:rPr>
          <w:bCs/>
          <w:i/>
          <w:color w:val="333333"/>
          <w:sz w:val="27"/>
          <w:szCs w:val="27"/>
          <w:shd w:val="clear" w:color="auto" w:fill="FFFFFF"/>
        </w:rPr>
        <w:t xml:space="preserve">an hành kèm theo Quyết định số </w:t>
      </w:r>
      <w:r w:rsidR="00464196">
        <w:rPr>
          <w:bCs/>
          <w:i/>
          <w:color w:val="333333"/>
          <w:sz w:val="27"/>
          <w:szCs w:val="27"/>
          <w:shd w:val="clear" w:color="auto" w:fill="FFFFFF"/>
        </w:rPr>
        <w:t>581</w:t>
      </w:r>
      <w:r w:rsidR="00464196" w:rsidRPr="007F0755">
        <w:rPr>
          <w:bCs/>
          <w:i/>
          <w:color w:val="333333"/>
          <w:sz w:val="27"/>
          <w:szCs w:val="27"/>
          <w:shd w:val="clear" w:color="auto" w:fill="FFFFFF"/>
        </w:rPr>
        <w:t xml:space="preserve">/QĐ-BYT ngày </w:t>
      </w:r>
      <w:r w:rsidR="00464196">
        <w:rPr>
          <w:bCs/>
          <w:i/>
          <w:color w:val="333333"/>
          <w:sz w:val="27"/>
          <w:szCs w:val="27"/>
          <w:shd w:val="clear" w:color="auto" w:fill="FFFFFF"/>
        </w:rPr>
        <w:t>24/02/2012</w:t>
      </w:r>
      <w:r>
        <w:rPr>
          <w:bCs/>
          <w:i/>
          <w:color w:val="333333"/>
          <w:sz w:val="27"/>
          <w:szCs w:val="27"/>
          <w:shd w:val="clear" w:color="auto" w:fill="FFFFFF"/>
        </w:rPr>
        <w:t xml:space="preserve"> của </w:t>
      </w:r>
      <w:r w:rsidR="00464196" w:rsidRPr="007F0755">
        <w:rPr>
          <w:bCs/>
          <w:i/>
          <w:color w:val="333333"/>
          <w:sz w:val="27"/>
          <w:szCs w:val="27"/>
          <w:shd w:val="clear" w:color="auto" w:fill="FFFFFF"/>
        </w:rPr>
        <w:t>Bộ Y tế</w:t>
      </w:r>
      <w:r w:rsidR="00464196" w:rsidRPr="007F0755">
        <w:rPr>
          <w:i/>
          <w:sz w:val="27"/>
          <w:szCs w:val="27"/>
        </w:rPr>
        <w:t>)</w:t>
      </w:r>
    </w:p>
    <w:p w:rsidR="006B0A09" w:rsidRDefault="005C36C4" w:rsidP="006B0A09">
      <w:pPr>
        <w:pStyle w:val="NormalWeb"/>
        <w:spacing w:before="120" w:beforeAutospacing="0" w:after="0" w:afterAutospacing="0"/>
        <w:ind w:firstLine="720"/>
        <w:jc w:val="both"/>
        <w:rPr>
          <w:i/>
          <w:sz w:val="27"/>
          <w:szCs w:val="27"/>
        </w:rPr>
      </w:pPr>
      <w:r>
        <w:rPr>
          <w:bCs/>
          <w:color w:val="333333"/>
          <w:sz w:val="27"/>
          <w:szCs w:val="27"/>
          <w:shd w:val="clear" w:color="auto" w:fill="FFFFFF"/>
        </w:rPr>
        <w:t>6</w:t>
      </w:r>
      <w:r w:rsidR="006B0A09">
        <w:rPr>
          <w:bCs/>
          <w:color w:val="333333"/>
          <w:sz w:val="27"/>
          <w:szCs w:val="27"/>
          <w:shd w:val="clear" w:color="auto" w:fill="FFFFFF"/>
        </w:rPr>
        <w:t>.</w:t>
      </w:r>
      <w:r w:rsidR="006B0A09">
        <w:rPr>
          <w:bCs/>
          <w:color w:val="333333"/>
          <w:sz w:val="27"/>
          <w:szCs w:val="27"/>
          <w:shd w:val="clear" w:color="auto" w:fill="FFFFFF"/>
        </w:rPr>
        <w:t xml:space="preserve"> </w:t>
      </w:r>
      <w:r w:rsidR="006B0A09">
        <w:rPr>
          <w:bCs/>
          <w:color w:val="333333"/>
          <w:sz w:val="27"/>
          <w:szCs w:val="27"/>
          <w:shd w:val="clear" w:color="auto" w:fill="FFFFFF"/>
        </w:rPr>
        <w:t xml:space="preserve">Giám sát và phòng chống bệnh </w:t>
      </w:r>
      <w:r w:rsidR="006B0A09">
        <w:rPr>
          <w:bCs/>
          <w:color w:val="333333"/>
          <w:sz w:val="27"/>
          <w:szCs w:val="27"/>
          <w:shd w:val="clear" w:color="auto" w:fill="FFFFFF"/>
        </w:rPr>
        <w:t>sốt xuất huyết</w:t>
      </w:r>
      <w:r w:rsidR="006B0A09" w:rsidRPr="007F0755">
        <w:rPr>
          <w:bCs/>
          <w:color w:val="333333"/>
          <w:sz w:val="27"/>
          <w:szCs w:val="27"/>
          <w:shd w:val="clear" w:color="auto" w:fill="FFFFFF"/>
        </w:rPr>
        <w:t xml:space="preserve"> </w:t>
      </w:r>
      <w:r w:rsidR="006B0A09">
        <w:rPr>
          <w:bCs/>
          <w:color w:val="333333"/>
          <w:sz w:val="27"/>
          <w:szCs w:val="27"/>
          <w:shd w:val="clear" w:color="auto" w:fill="FFFFFF"/>
        </w:rPr>
        <w:t xml:space="preserve">Dengue </w:t>
      </w:r>
      <w:r w:rsidR="006B0A09">
        <w:rPr>
          <w:i/>
          <w:sz w:val="27"/>
          <w:szCs w:val="27"/>
        </w:rPr>
        <w:t>(Tài liệu: b</w:t>
      </w:r>
      <w:r w:rsidR="006B0A09" w:rsidRPr="007F0755">
        <w:rPr>
          <w:bCs/>
          <w:i/>
          <w:color w:val="333333"/>
          <w:sz w:val="27"/>
          <w:szCs w:val="27"/>
          <w:shd w:val="clear" w:color="auto" w:fill="FFFFFF"/>
        </w:rPr>
        <w:t xml:space="preserve">an hành kèm theo Quyết định số </w:t>
      </w:r>
      <w:r w:rsidR="006B0A09">
        <w:rPr>
          <w:bCs/>
          <w:i/>
          <w:color w:val="333333"/>
          <w:sz w:val="27"/>
          <w:szCs w:val="27"/>
          <w:shd w:val="clear" w:color="auto" w:fill="FFFFFF"/>
        </w:rPr>
        <w:t>371</w:t>
      </w:r>
      <w:r w:rsidR="006B0A09">
        <w:rPr>
          <w:bCs/>
          <w:i/>
          <w:color w:val="333333"/>
          <w:sz w:val="27"/>
          <w:szCs w:val="27"/>
          <w:shd w:val="clear" w:color="auto" w:fill="FFFFFF"/>
        </w:rPr>
        <w:t>1</w:t>
      </w:r>
      <w:r w:rsidR="006B0A09" w:rsidRPr="007F0755">
        <w:rPr>
          <w:bCs/>
          <w:i/>
          <w:color w:val="333333"/>
          <w:sz w:val="27"/>
          <w:szCs w:val="27"/>
          <w:shd w:val="clear" w:color="auto" w:fill="FFFFFF"/>
        </w:rPr>
        <w:t xml:space="preserve">/QĐ-BYT ngày </w:t>
      </w:r>
      <w:r w:rsidR="006B0A09">
        <w:rPr>
          <w:bCs/>
          <w:i/>
          <w:color w:val="333333"/>
          <w:sz w:val="27"/>
          <w:szCs w:val="27"/>
          <w:shd w:val="clear" w:color="auto" w:fill="FFFFFF"/>
        </w:rPr>
        <w:t>19/9/2014</w:t>
      </w:r>
      <w:r>
        <w:rPr>
          <w:bCs/>
          <w:i/>
          <w:color w:val="333333"/>
          <w:sz w:val="27"/>
          <w:szCs w:val="27"/>
          <w:shd w:val="clear" w:color="auto" w:fill="FFFFFF"/>
        </w:rPr>
        <w:t xml:space="preserve"> của </w:t>
      </w:r>
      <w:r w:rsidR="006B0A09" w:rsidRPr="007F0755">
        <w:rPr>
          <w:bCs/>
          <w:i/>
          <w:color w:val="333333"/>
          <w:sz w:val="27"/>
          <w:szCs w:val="27"/>
          <w:shd w:val="clear" w:color="auto" w:fill="FFFFFF"/>
        </w:rPr>
        <w:t>Bộ Y tế</w:t>
      </w:r>
      <w:r w:rsidR="006B0A09" w:rsidRPr="007F0755">
        <w:rPr>
          <w:i/>
          <w:sz w:val="27"/>
          <w:szCs w:val="27"/>
        </w:rPr>
        <w:t>)</w:t>
      </w:r>
    </w:p>
    <w:p w:rsidR="00AD20DD" w:rsidRDefault="005C36C4" w:rsidP="00AD20DD">
      <w:pPr>
        <w:pStyle w:val="NormalWeb"/>
        <w:spacing w:before="120" w:beforeAutospacing="0" w:after="0" w:afterAutospacing="0"/>
        <w:ind w:firstLine="720"/>
        <w:jc w:val="both"/>
        <w:rPr>
          <w:i/>
          <w:sz w:val="27"/>
          <w:szCs w:val="27"/>
        </w:rPr>
      </w:pPr>
      <w:r>
        <w:rPr>
          <w:sz w:val="27"/>
          <w:szCs w:val="27"/>
        </w:rPr>
        <w:t>7</w:t>
      </w:r>
      <w:r w:rsidR="002464B1">
        <w:rPr>
          <w:sz w:val="27"/>
          <w:szCs w:val="27"/>
        </w:rPr>
        <w:t xml:space="preserve">. </w:t>
      </w:r>
      <w:r w:rsidR="00AD20DD">
        <w:rPr>
          <w:bCs/>
          <w:color w:val="333333"/>
          <w:sz w:val="27"/>
          <w:szCs w:val="27"/>
          <w:shd w:val="clear" w:color="auto" w:fill="FFFFFF"/>
        </w:rPr>
        <w:t>Quy trình chuyên môn khám, chữa bệnh đái tháo đường typ II</w:t>
      </w:r>
      <w:r w:rsidR="00AD20DD">
        <w:rPr>
          <w:bCs/>
          <w:color w:val="333333"/>
          <w:sz w:val="27"/>
          <w:szCs w:val="27"/>
          <w:shd w:val="clear" w:color="auto" w:fill="FFFFFF"/>
        </w:rPr>
        <w:t xml:space="preserve"> </w:t>
      </w:r>
      <w:r w:rsidR="00AD20DD">
        <w:rPr>
          <w:i/>
          <w:sz w:val="27"/>
          <w:szCs w:val="27"/>
        </w:rPr>
        <w:t>(Tài liệu: b</w:t>
      </w:r>
      <w:r w:rsidR="00AD20DD" w:rsidRPr="007F0755">
        <w:rPr>
          <w:bCs/>
          <w:i/>
          <w:color w:val="333333"/>
          <w:sz w:val="27"/>
          <w:szCs w:val="27"/>
          <w:shd w:val="clear" w:color="auto" w:fill="FFFFFF"/>
        </w:rPr>
        <w:t xml:space="preserve">an hành kèm theo Quyết định số </w:t>
      </w:r>
      <w:r w:rsidR="00AD20DD">
        <w:rPr>
          <w:bCs/>
          <w:i/>
          <w:color w:val="333333"/>
          <w:sz w:val="27"/>
          <w:szCs w:val="27"/>
          <w:shd w:val="clear" w:color="auto" w:fill="FFFFFF"/>
        </w:rPr>
        <w:t>3798</w:t>
      </w:r>
      <w:r w:rsidR="00AD20DD" w:rsidRPr="007F0755">
        <w:rPr>
          <w:bCs/>
          <w:i/>
          <w:color w:val="333333"/>
          <w:sz w:val="27"/>
          <w:szCs w:val="27"/>
          <w:shd w:val="clear" w:color="auto" w:fill="FFFFFF"/>
        </w:rPr>
        <w:t xml:space="preserve">/QĐ-BYT ngày </w:t>
      </w:r>
      <w:r w:rsidR="00AD20DD">
        <w:rPr>
          <w:bCs/>
          <w:i/>
          <w:color w:val="333333"/>
          <w:sz w:val="27"/>
          <w:szCs w:val="27"/>
          <w:shd w:val="clear" w:color="auto" w:fill="FFFFFF"/>
        </w:rPr>
        <w:t>21/8/2017</w:t>
      </w:r>
      <w:r>
        <w:rPr>
          <w:bCs/>
          <w:i/>
          <w:color w:val="333333"/>
          <w:sz w:val="27"/>
          <w:szCs w:val="27"/>
          <w:shd w:val="clear" w:color="auto" w:fill="FFFFFF"/>
        </w:rPr>
        <w:t xml:space="preserve"> của</w:t>
      </w:r>
      <w:r w:rsidR="00AD20DD" w:rsidRPr="007F0755">
        <w:rPr>
          <w:bCs/>
          <w:i/>
          <w:color w:val="333333"/>
          <w:sz w:val="27"/>
          <w:szCs w:val="27"/>
          <w:shd w:val="clear" w:color="auto" w:fill="FFFFFF"/>
        </w:rPr>
        <w:t xml:space="preserve"> Bộ Y tế</w:t>
      </w:r>
      <w:r w:rsidR="00AD20DD" w:rsidRPr="007F0755">
        <w:rPr>
          <w:i/>
          <w:sz w:val="27"/>
          <w:szCs w:val="27"/>
        </w:rPr>
        <w:t>)</w:t>
      </w:r>
    </w:p>
    <w:p w:rsidR="005347F1" w:rsidRDefault="005C36C4" w:rsidP="0054467C">
      <w:pPr>
        <w:spacing w:before="12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8</w:t>
      </w:r>
      <w:r w:rsidR="005347F1">
        <w:rPr>
          <w:sz w:val="27"/>
          <w:szCs w:val="27"/>
        </w:rPr>
        <w:t xml:space="preserve">. </w:t>
      </w:r>
      <w:r w:rsidR="005347F1" w:rsidRPr="004A7384">
        <w:rPr>
          <w:sz w:val="27"/>
          <w:szCs w:val="27"/>
        </w:rPr>
        <w:t>Phương pháp nghiên cứu khoa học (</w:t>
      </w:r>
      <w:r w:rsidR="005347F1" w:rsidRPr="001E6447">
        <w:rPr>
          <w:i/>
          <w:sz w:val="27"/>
          <w:szCs w:val="27"/>
        </w:rPr>
        <w:t>tài liệu Phương pháp nghiên cứu khoa học- Đại học Y Dược TP Hồ Chí Minh-10/2012</w:t>
      </w:r>
      <w:r w:rsidR="005347F1" w:rsidRPr="004A7384">
        <w:rPr>
          <w:sz w:val="27"/>
          <w:szCs w:val="27"/>
        </w:rPr>
        <w:t>)</w:t>
      </w:r>
    </w:p>
    <w:p w:rsidR="005347F1" w:rsidRDefault="005C36C4" w:rsidP="0054467C">
      <w:pPr>
        <w:spacing w:before="12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5347F1">
        <w:rPr>
          <w:sz w:val="27"/>
          <w:szCs w:val="27"/>
        </w:rPr>
        <w:t>. Phương pháp phân tích dân số học- Qui mô và cơ cấu dân số (</w:t>
      </w:r>
      <w:r w:rsidR="005347F1" w:rsidRPr="001E6447">
        <w:rPr>
          <w:i/>
          <w:sz w:val="27"/>
          <w:szCs w:val="27"/>
        </w:rPr>
        <w:t>tài liệu Dân số học-NXB Y học chi nhánh TPHCM- 2011</w:t>
      </w:r>
      <w:r w:rsidR="005347F1">
        <w:rPr>
          <w:sz w:val="27"/>
          <w:szCs w:val="27"/>
        </w:rPr>
        <w:t>)</w:t>
      </w:r>
    </w:p>
    <w:p w:rsidR="005347F1" w:rsidRPr="00AD20DD" w:rsidRDefault="005C36C4" w:rsidP="0054467C">
      <w:pPr>
        <w:spacing w:before="12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="005347F1">
        <w:rPr>
          <w:sz w:val="27"/>
          <w:szCs w:val="27"/>
        </w:rPr>
        <w:t>. Phân tích các vấn đề sức khỏe, xác định vấn đề sức khỏe ưu tiên (</w:t>
      </w:r>
      <w:r w:rsidR="005347F1" w:rsidRPr="001E6447">
        <w:rPr>
          <w:i/>
          <w:sz w:val="27"/>
          <w:szCs w:val="27"/>
        </w:rPr>
        <w:t>tài liệu Tổ chức quản lý Y tế</w:t>
      </w:r>
      <w:r w:rsidR="005347F1">
        <w:rPr>
          <w:sz w:val="27"/>
          <w:szCs w:val="27"/>
        </w:rPr>
        <w:t xml:space="preserve">- </w:t>
      </w:r>
      <w:r w:rsidR="005347F1" w:rsidRPr="001E6447">
        <w:rPr>
          <w:i/>
          <w:sz w:val="27"/>
          <w:szCs w:val="27"/>
        </w:rPr>
        <w:t>Đại học Y Dược TP Hồ Chí Minh</w:t>
      </w:r>
      <w:r w:rsidR="005347F1">
        <w:rPr>
          <w:i/>
          <w:sz w:val="27"/>
          <w:szCs w:val="27"/>
        </w:rPr>
        <w:t>)</w:t>
      </w:r>
    </w:p>
    <w:p w:rsidR="0054467C" w:rsidRPr="003E5AE7" w:rsidRDefault="00AD20DD" w:rsidP="00DC033B">
      <w:pPr>
        <w:spacing w:before="120"/>
        <w:jc w:val="both"/>
        <w:rPr>
          <w:sz w:val="2"/>
          <w:szCs w:val="27"/>
        </w:rPr>
      </w:pPr>
      <w:r>
        <w:tab/>
      </w:r>
    </w:p>
    <w:p w:rsidR="0054467C" w:rsidRDefault="0054467C" w:rsidP="0054467C"/>
    <w:p w:rsidR="00077F00" w:rsidRDefault="003E5AE7">
      <w:pPr>
        <w:rPr>
          <w:i/>
          <w:sz w:val="27"/>
          <w:szCs w:val="2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5AE7">
        <w:rPr>
          <w:i/>
          <w:sz w:val="27"/>
          <w:szCs w:val="27"/>
        </w:rPr>
        <w:t>Ngày     tháng  01  năm 2019</w:t>
      </w:r>
    </w:p>
    <w:p w:rsidR="003E5AE7" w:rsidRPr="003E5AE7" w:rsidRDefault="003E5AE7">
      <w:pPr>
        <w:rPr>
          <w:b/>
          <w:sz w:val="27"/>
          <w:szCs w:val="27"/>
        </w:rPr>
      </w:pPr>
      <w:r>
        <w:rPr>
          <w:i/>
          <w:sz w:val="27"/>
          <w:szCs w:val="27"/>
        </w:rPr>
        <w:tab/>
      </w:r>
      <w:r>
        <w:rPr>
          <w:i/>
          <w:sz w:val="27"/>
          <w:szCs w:val="27"/>
        </w:rPr>
        <w:tab/>
      </w:r>
      <w:r>
        <w:rPr>
          <w:i/>
          <w:sz w:val="27"/>
          <w:szCs w:val="27"/>
        </w:rPr>
        <w:tab/>
      </w:r>
      <w:r>
        <w:rPr>
          <w:i/>
          <w:sz w:val="27"/>
          <w:szCs w:val="27"/>
        </w:rPr>
        <w:tab/>
      </w:r>
      <w:r>
        <w:rPr>
          <w:i/>
          <w:sz w:val="27"/>
          <w:szCs w:val="27"/>
        </w:rPr>
        <w:tab/>
      </w:r>
      <w:r>
        <w:rPr>
          <w:i/>
          <w:sz w:val="27"/>
          <w:szCs w:val="27"/>
        </w:rPr>
        <w:tab/>
      </w:r>
      <w:r>
        <w:rPr>
          <w:i/>
          <w:sz w:val="27"/>
          <w:szCs w:val="27"/>
        </w:rPr>
        <w:tab/>
      </w:r>
      <w:r>
        <w:rPr>
          <w:i/>
          <w:sz w:val="27"/>
          <w:szCs w:val="27"/>
        </w:rPr>
        <w:tab/>
      </w:r>
      <w:r w:rsidRPr="003E5AE7">
        <w:rPr>
          <w:b/>
          <w:sz w:val="27"/>
          <w:szCs w:val="27"/>
        </w:rPr>
        <w:t>GIÁM ĐỐC</w:t>
      </w:r>
    </w:p>
    <w:sectPr w:rsidR="003E5AE7" w:rsidRPr="003E5AE7" w:rsidSect="00ED5089">
      <w:pgSz w:w="11907" w:h="16840" w:code="9"/>
      <w:pgMar w:top="851" w:right="850" w:bottom="1134" w:left="1588" w:header="454" w:footer="45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F1"/>
    <w:rsid w:val="00077F00"/>
    <w:rsid w:val="00214D82"/>
    <w:rsid w:val="002464B1"/>
    <w:rsid w:val="003E5AE7"/>
    <w:rsid w:val="00464196"/>
    <w:rsid w:val="004D39E4"/>
    <w:rsid w:val="005347F1"/>
    <w:rsid w:val="0054467C"/>
    <w:rsid w:val="005C36C4"/>
    <w:rsid w:val="006B0A09"/>
    <w:rsid w:val="007013F9"/>
    <w:rsid w:val="009E5DC7"/>
    <w:rsid w:val="00AD20DD"/>
    <w:rsid w:val="00DC033B"/>
    <w:rsid w:val="00ED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F1"/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5347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347F1"/>
    <w:rPr>
      <w:rFonts w:eastAsia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347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47F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5347F1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5347F1"/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347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47F1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F1"/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5347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347F1"/>
    <w:rPr>
      <w:rFonts w:eastAsia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347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347F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5347F1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5347F1"/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347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47F1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FB32B77BC6BCE469A20AE84AF97AF47" ma:contentTypeVersion="1" ma:contentTypeDescription="Upload an image." ma:contentTypeScope="" ma:versionID="b4da2adae13c588f052c06f8c8324a5a">
  <xsd:schema xmlns:xsd="http://www.w3.org/2001/XMLSchema" xmlns:xs="http://www.w3.org/2001/XMLSchema" xmlns:p="http://schemas.microsoft.com/office/2006/metadata/properties" xmlns:ns1="http://schemas.microsoft.com/sharepoint/v3" xmlns:ns2="780FFE3A-0846-4223-AD1A-992C07E03CB4" xmlns:ns3="http://schemas.microsoft.com/sharepoint/v3/fields" targetNamespace="http://schemas.microsoft.com/office/2006/metadata/properties" ma:root="true" ma:fieldsID="ad67d8f52a74939dd250bc22f5a2d32a" ns1:_="" ns2:_="" ns3:_="">
    <xsd:import namespace="http://schemas.microsoft.com/sharepoint/v3"/>
    <xsd:import namespace="780FFE3A-0846-4223-AD1A-992C07E03CB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FFE3A-0846-4223-AD1A-992C07E03CB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80FFE3A-0846-4223-AD1A-992C07E03CB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EB8A8A9-943C-46C5-9038-B857C0E39050}"/>
</file>

<file path=customXml/itemProps2.xml><?xml version="1.0" encoding="utf-8"?>
<ds:datastoreItem xmlns:ds="http://schemas.openxmlformats.org/officeDocument/2006/customXml" ds:itemID="{4216DE0F-6BF3-418E-A3A5-65AB81777BB0}"/>
</file>

<file path=customXml/itemProps3.xml><?xml version="1.0" encoding="utf-8"?>
<ds:datastoreItem xmlns:ds="http://schemas.openxmlformats.org/officeDocument/2006/customXml" ds:itemID="{0BFEC3D7-880E-47CD-B907-4A28CD999B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dc:description/>
  <cp:lastModifiedBy>Windows User</cp:lastModifiedBy>
  <cp:revision>1</cp:revision>
  <cp:lastPrinted>2019-01-14T07:40:00Z</cp:lastPrinted>
  <dcterms:created xsi:type="dcterms:W3CDTF">2019-01-14T01:08:00Z</dcterms:created>
  <dcterms:modified xsi:type="dcterms:W3CDTF">2019-01-14T07:47:00Z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0x0101009148F5A04DDD49CBA7127AADA5FB792B00AADE34325A8B49CDA8BB4DB53328F214001FB32B77BC6BCE469A20AE84AF97AF47</vt:lpwstr>
  </property>
</Properties>
</file>